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theme/themeOverride1.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70289" w14:textId="323D94CA" w:rsidR="00BB3E29" w:rsidRDefault="00A30CC3" w:rsidP="002A12BB">
      <w:pPr>
        <w:spacing w:after="0" w:line="360" w:lineRule="auto"/>
        <w:jc w:val="center"/>
        <w:rPr>
          <w:rFonts w:ascii="Arial" w:hAnsi="Arial" w:cs="Arial"/>
          <w:b/>
          <w:sz w:val="24"/>
          <w:szCs w:val="24"/>
          <w:lang w:val="es-ES"/>
        </w:rPr>
      </w:pPr>
      <w:r>
        <w:rPr>
          <w:rFonts w:ascii="Arial" w:hAnsi="Arial" w:cs="Arial"/>
          <w:b/>
          <w:noProof/>
          <w:sz w:val="24"/>
          <w:szCs w:val="24"/>
          <w:lang w:val="es-ES" w:eastAsia="es-ES"/>
        </w:rPr>
        <mc:AlternateContent>
          <mc:Choice Requires="wpg">
            <w:drawing>
              <wp:anchor distT="0" distB="0" distL="114300" distR="114300" simplePos="0" relativeHeight="251688448" behindDoc="1" locked="0" layoutInCell="1" allowOverlap="1" wp14:anchorId="11FAA96E" wp14:editId="29840CDA">
                <wp:simplePos x="0" y="0"/>
                <wp:positionH relativeFrom="page">
                  <wp:posOffset>350520</wp:posOffset>
                </wp:positionH>
                <wp:positionV relativeFrom="page">
                  <wp:posOffset>388620</wp:posOffset>
                </wp:positionV>
                <wp:extent cx="6851650" cy="9008110"/>
                <wp:effectExtent l="0" t="0" r="2540" b="2540"/>
                <wp:wrapNone/>
                <wp:docPr id="40" name="Grupo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0" cy="9008110"/>
                          <a:chOff x="0" y="0"/>
                          <a:chExt cx="68648" cy="91235"/>
                        </a:xfrm>
                      </wpg:grpSpPr>
                      <wps:wsp>
                        <wps:cNvPr id="42" name="Rectángulo 194"/>
                        <wps:cNvSpPr>
                          <a:spLocks noChangeArrowheads="1"/>
                        </wps:cNvSpPr>
                        <wps:spPr bwMode="auto">
                          <a:xfrm>
                            <a:off x="0" y="0"/>
                            <a:ext cx="68580" cy="13583"/>
                          </a:xfrm>
                          <a:prstGeom prst="rect">
                            <a:avLst/>
                          </a:prstGeom>
                          <a:solidFill>
                            <a:srgbClr val="0070C0"/>
                          </a:solidFill>
                          <a:ln>
                            <a:noFill/>
                          </a:ln>
                          <a:extLst>
                            <a:ext uri="{91240B29-F687-4F45-9708-019B960494DF}">
                              <a14:hiddenLine xmlns:a14="http://schemas.microsoft.com/office/drawing/2010/main" w="22225" cap="rnd">
                                <a:solidFill>
                                  <a:srgbClr val="000000"/>
                                </a:solidFill>
                                <a:miter lim="800000"/>
                                <a:headEnd/>
                                <a:tailEnd/>
                              </a14:hiddenLine>
                            </a:ext>
                          </a:extLst>
                        </wps:spPr>
                        <wps:bodyPr rot="0" vert="horz" wrap="square" lIns="91440" tIns="45720" rIns="91440" bIns="45720" anchor="ctr" anchorCtr="0" upright="1">
                          <a:noAutofit/>
                        </wps:bodyPr>
                      </wps:wsp>
                      <wps:wsp>
                        <wps:cNvPr id="43" name="Rectángulo 195"/>
                        <wps:cNvSpPr>
                          <a:spLocks noChangeArrowheads="1"/>
                        </wps:cNvSpPr>
                        <wps:spPr bwMode="auto">
                          <a:xfrm>
                            <a:off x="0" y="40943"/>
                            <a:ext cx="68580" cy="50292"/>
                          </a:xfrm>
                          <a:prstGeom prst="rect">
                            <a:avLst/>
                          </a:prstGeom>
                          <a:solidFill>
                            <a:srgbClr val="0070C0"/>
                          </a:solidFill>
                          <a:ln>
                            <a:noFill/>
                          </a:ln>
                          <a:extLst>
                            <a:ext uri="{91240B29-F687-4F45-9708-019B960494DF}">
                              <a14:hiddenLine xmlns:a14="http://schemas.microsoft.com/office/drawing/2010/main" w="22225" cap="rnd">
                                <a:solidFill>
                                  <a:srgbClr val="000000"/>
                                </a:solidFill>
                                <a:miter lim="800000"/>
                                <a:headEnd/>
                                <a:tailEnd/>
                              </a14:hiddenLine>
                            </a:ext>
                          </a:extLst>
                        </wps:spPr>
                        <wps:txbx>
                          <w:txbxContent>
                            <w:p w14:paraId="2DE5FB6B" w14:textId="77777777" w:rsidR="00B222F0" w:rsidRPr="00E57B6F" w:rsidRDefault="00B222F0" w:rsidP="00C41C55">
                              <w:pPr>
                                <w:pStyle w:val="Sinespaciado"/>
                                <w:spacing w:before="120"/>
                                <w:jc w:val="center"/>
                                <w:rPr>
                                  <w:color w:val="FFFFFF"/>
                                </w:rPr>
                              </w:pPr>
                            </w:p>
                            <w:p w14:paraId="6AEAF9CE" w14:textId="77777777" w:rsidR="00B222F0" w:rsidRPr="00E57B6F" w:rsidRDefault="00B222F0" w:rsidP="00C41C55">
                              <w:pPr>
                                <w:pStyle w:val="Sinespaciado"/>
                                <w:spacing w:before="120"/>
                                <w:jc w:val="center"/>
                                <w:rPr>
                                  <w:color w:val="FFFFFF"/>
                                </w:rPr>
                              </w:pPr>
                              <w:r w:rsidRPr="00E57B6F">
                                <w:rPr>
                                  <w:caps/>
                                  <w:color w:val="FFFFFF"/>
                                </w:rPr>
                                <w:t xml:space="preserve">     </w:t>
                              </w:r>
                              <w:r w:rsidRPr="00E57B6F">
                                <w:rPr>
                                  <w:color w:val="FFFFFF"/>
                                </w:rPr>
                                <w:t xml:space="preserve">       </w:t>
                              </w:r>
                            </w:p>
                          </w:txbxContent>
                        </wps:txbx>
                        <wps:bodyPr rot="0" vert="horz" wrap="square" lIns="457200" tIns="731520" rIns="457200" bIns="457200" anchor="b" anchorCtr="0" upright="1">
                          <a:noAutofit/>
                        </wps:bodyPr>
                      </wps:wsp>
                      <wps:wsp>
                        <wps:cNvPr id="44" name="Cuadro de texto 196"/>
                        <wps:cNvSpPr txBox="1">
                          <a:spLocks noChangeArrowheads="1"/>
                        </wps:cNvSpPr>
                        <wps:spPr bwMode="auto">
                          <a:xfrm>
                            <a:off x="68" y="13716"/>
                            <a:ext cx="68580" cy="2722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84DFBA" w14:textId="77777777" w:rsidR="00B222F0" w:rsidRPr="00E57B6F" w:rsidRDefault="00B222F0" w:rsidP="00C41C55">
                              <w:pPr>
                                <w:pStyle w:val="Sinespaciado"/>
                                <w:jc w:val="center"/>
                                <w:rPr>
                                  <w:caps/>
                                  <w:color w:val="418AB3"/>
                                  <w:sz w:val="72"/>
                                  <w:szCs w:val="72"/>
                                </w:rPr>
                              </w:pPr>
                            </w:p>
                          </w:txbxContent>
                        </wps:txbx>
                        <wps:bodyPr rot="0" vert="horz" wrap="square" lIns="457200" tIns="91440" rIns="457200" bIns="91440" anchor="ctr" anchorCtr="0" upright="1">
                          <a:noAutofit/>
                        </wps:bodyPr>
                      </wps:wsp>
                    </wpg:wgp>
                  </a:graphicData>
                </a:graphic>
                <wp14:sizeRelH relativeFrom="page">
                  <wp14:pctWidth>88200</wp14:pctWidth>
                </wp14:sizeRelH>
                <wp14:sizeRelV relativeFrom="page">
                  <wp14:pctHeight>0</wp14:pctHeight>
                </wp14:sizeRelV>
              </wp:anchor>
            </w:drawing>
          </mc:Choice>
          <mc:Fallback>
            <w:pict>
              <v:group w14:anchorId="11FAA96E" id="Grupo 193" o:spid="_x0000_s1026" style="position:absolute;left:0;text-align:left;margin-left:27.6pt;margin-top:30.6pt;width:539.5pt;height:709.3pt;z-index:-251628032;mso-width-percent:882;mso-position-horizontal-relative:page;mso-position-vertical-relative:page;mso-width-percent:882"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sN/DgMAABEKAAAOAAAAZHJzL2Uyb0RvYy54bWzMVttu1DAQfUfiHyy/01w2e4uaVmVLV0gF&#10;Kgof4HWci0jsYDubLX/Dt/BjjO1kb+0DtBQ1D5EnY09mzjke+/R8U1dozaQqBU9wcOJjxDgVacnz&#10;BH/9cvVmhpHShKekEpwl+I4pfH72+tVp18QsFIWoUiYRBOEq7poEF1o3secpWrCaqBPRMA7OTMia&#10;aDBl7qWSdBC9rrzQ9ydeJ2TaSEGZUvD10jnxmY2fZYzqT1mmmEZVgiE3bd/Svlfm7Z2dkjiXpClK&#10;2qdBHpFFTUoOP92GuiSaoFaW90LVJZVCiUyfUFF7IstKymwNUE3gH1WzlKJtbC153OXNFiaA9gin&#10;R4elH9c3EpVpgiOAh5MaOFrKthEomI8MOl2TxzBpKZvb5ka6EmF4Leg3BW7v2G/s3E1Gq+6DSCEg&#10;abWw6GwyWZsQUDfaWBLutiSwjUYUPk5m42AyhmQo+Oa+PwuCniZaAJf31tHi3XblJAK52XVBOBqb&#10;9D0Su5/aRPvETFUgN7VDVD0N0duCNMwSpQxYA6LhgOhn0OGvnzxvK4Nr5HC1UwdQlUMUcbEoCM/Z&#10;hZSiKxhJIbPAFmJShthugTEU8PFoiGc9wMFoPLM8b4EicSOVXjJRIzNIsITkLXtkfa20w3SYYshU&#10;oirTq7KqrCHz1aKSaE3MhvOn/sKSB9EPplXcTObCLHMRzRfgyJXlCFqJ9A5KlMLtWugyMCiE/IFR&#10;Bzs2wep7SyTDqHrPAaZ5EBkNa2tE42kIhtz3rPY9hFMIlWCqJUbOWGjXGNpGlnkB/wps2VxcgH6z&#10;0pZuMnR59emCiv6XnEYPy8nq/EAdAPazyiny55EVDYn3du0gqbEfzsODvfdyJKU3qw3obcfiH6vL&#10;Cmorr+koGO/0Nfj2BAYzB4WthuFL11c06GvRklQKlDKkgV/TsiZHLQvpzVsBzdrtkOdS2wS6ORwC&#10;wWga2AQelFs4DcPpc8ntyj599L/vYEZu9nC1LfzJqus7nGtqh6LrXYPm/klXs0cm3DvsKdrfkczF&#10;Zt+2XXB3kzv7DQAA//8DAFBLAwQUAAYACAAAACEAr28Q2uAAAAALAQAADwAAAGRycy9kb3ducmV2&#10;LnhtbEyPzU7DMBCE70i8g7VI3KiT9JcQp6oqIdEjbZHg5sbbOCJeh9htA0/P9gSnndWMZr8tloNr&#10;xRn70HhSkI4SEEiVNw3VCva754cFiBA1Gd16QgXfGGBZ3t4UOjf+Qq943sZacAmFXCuwMXa5lKGy&#10;6HQY+Q6JvaPvnY689rU0vb5wuWtlliQz6XRDfMHqDtcWq8/tySkYm6/w9kMb/5Ht7WZtdi/z4+pd&#10;qfu7YfUEIuIQ/8JwxWd0KJnp4E9kgmgVTKcZJxXMUp5XPx1PWB1YTeaPC5BlIf//UP4CAAD//wMA&#10;UEsBAi0AFAAGAAgAAAAhALaDOJL+AAAA4QEAABMAAAAAAAAAAAAAAAAAAAAAAFtDb250ZW50X1R5&#10;cGVzXS54bWxQSwECLQAUAAYACAAAACEAOP0h/9YAAACUAQAACwAAAAAAAAAAAAAAAAAvAQAAX3Jl&#10;bHMvLnJlbHNQSwECLQAUAAYACAAAACEAn97Dfw4DAAARCgAADgAAAAAAAAAAAAAAAAAuAgAAZHJz&#10;L2Uyb0RvYy54bWxQSwECLQAUAAYACAAAACEAr28Q2uAAAAALAQAADwAAAAAAAAAAAAAAAABoBQAA&#10;ZHJzL2Rvd25yZXYueG1sUEsFBgAAAAAEAAQA8wAAAHUGAAAAAA==&#10;">
                <v:rect id="Rectángulo 194" o:spid="_x0000_s1027" style="position:absolute;width:68580;height:13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chjwQAAANsAAAAPAAAAZHJzL2Rvd25yZXYueG1sRI9Bi8Iw&#10;FITvwv6H8Ba8aboiKl2jyILoUesie3w0b5ti81KaWFt/vREEj8PMfMMs152tREuNLx0r+BonIIhz&#10;p0suFPyetqMFCB+QNVaOSUFPHtarj8ESU+1ufKQ2C4WIEPYpKjAh1KmUPjdk0Y9dTRy9f9dYDFE2&#10;hdQN3iLcVnKSJDNpseS4YLCmH0P5JbtaBTsza88V9ffyr58v7GFr0WVnpYaf3eYbRKAuvMOv9l4r&#10;mE7g+SX+ALl6AAAA//8DAFBLAQItABQABgAIAAAAIQDb4fbL7gAAAIUBAAATAAAAAAAAAAAAAAAA&#10;AAAAAABbQ29udGVudF9UeXBlc10ueG1sUEsBAi0AFAAGAAgAAAAhAFr0LFu/AAAAFQEAAAsAAAAA&#10;AAAAAAAAAAAAHwEAAF9yZWxzLy5yZWxzUEsBAi0AFAAGAAgAAAAhAGfpyGPBAAAA2wAAAA8AAAAA&#10;AAAAAAAAAAAABwIAAGRycy9kb3ducmV2LnhtbFBLBQYAAAAAAwADALcAAAD1AgAAAAA=&#10;" fillcolor="#0070c0" stroked="f" strokeweight="1.75pt">
                  <v:stroke endcap="round"/>
                </v:rect>
                <v:rect id="Rectángulo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ApHwwAAANsAAAAPAAAAZHJzL2Rvd25yZXYueG1sRI9Ba8JA&#10;FITvQv/D8gpeRDdaKxJdpQiC9CKx7f2ZfSYh2bdpdhPjv3cFweMwM98w621vKtFR4wrLCqaTCARx&#10;anXBmYLfn/14CcJ5ZI2VZVJwIwfbzdtgjbG2V06oO/lMBAi7GBXk3texlC7NyaCb2Jo4eBfbGPRB&#10;NpnUDV4D3FRyFkULabDgsJBjTbuc0vLUGgUJjkZ87JLZ2bRl+dm3+B39/Ss1fO+/ViA89f4VfrYP&#10;WsH8Ax5fwg+QmzsAAAD//wMAUEsBAi0AFAAGAAgAAAAhANvh9svuAAAAhQEAABMAAAAAAAAAAAAA&#10;AAAAAAAAAFtDb250ZW50X1R5cGVzXS54bWxQSwECLQAUAAYACAAAACEAWvQsW78AAAAVAQAACwAA&#10;AAAAAAAAAAAAAAAfAQAAX3JlbHMvLnJlbHNQSwECLQAUAAYACAAAACEALMwKR8MAAADbAAAADwAA&#10;AAAAAAAAAAAAAAAHAgAAZHJzL2Rvd25yZXYueG1sUEsFBgAAAAADAAMAtwAAAPcCAAAAAA==&#10;" fillcolor="#0070c0" stroked="f" strokeweight="1.75pt">
                  <v:stroke endcap="round"/>
                  <v:textbox inset="36pt,57.6pt,36pt,36pt">
                    <w:txbxContent>
                      <w:p w14:paraId="2DE5FB6B" w14:textId="77777777" w:rsidR="00B222F0" w:rsidRPr="00E57B6F" w:rsidRDefault="00B222F0" w:rsidP="00C41C55">
                        <w:pPr>
                          <w:pStyle w:val="Sinespaciado"/>
                          <w:spacing w:before="120"/>
                          <w:jc w:val="center"/>
                          <w:rPr>
                            <w:color w:val="FFFFFF"/>
                          </w:rPr>
                        </w:pPr>
                      </w:p>
                      <w:p w14:paraId="6AEAF9CE" w14:textId="77777777" w:rsidR="00B222F0" w:rsidRPr="00E57B6F" w:rsidRDefault="00B222F0" w:rsidP="00C41C55">
                        <w:pPr>
                          <w:pStyle w:val="Sinespaciado"/>
                          <w:spacing w:before="120"/>
                          <w:jc w:val="center"/>
                          <w:rPr>
                            <w:color w:val="FFFFFF"/>
                          </w:rPr>
                        </w:pPr>
                        <w:r w:rsidRPr="00E57B6F">
                          <w:rPr>
                            <w:caps/>
                            <w:color w:val="FFFFFF"/>
                          </w:rPr>
                          <w:t xml:space="preserve">     </w:t>
                        </w:r>
                        <w:r w:rsidRPr="00E57B6F">
                          <w:rPr>
                            <w:color w:val="FFFFFF"/>
                          </w:rPr>
                          <w:t xml:space="preserve">       </w:t>
                        </w: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S/rxgAAANsAAAAPAAAAZHJzL2Rvd25yZXYueG1sRI9PawIx&#10;FMTvBb9DeIK3mviHoqtRitjaSwtVUbw9Ns/dtZuX7Sbqtp/eFAoeh5n5DTOdN7YUF6p94VhDr6tA&#10;EKfOFJxp2G5eHkcgfEA2WDomDT/kYT5rPUwxMe7Kn3RZh0xECPsENeQhVImUPs3Jou+6ijh6R1db&#10;DFHWmTQ1XiPclrKv1JO0WHBcyLGiRU7p1/psNex+xwf13lTLV/Vx8kveD1bfuNK6026eJyACNeEe&#10;/m+/GQ3DIfx9iT9Azm4AAAD//wMAUEsBAi0AFAAGAAgAAAAhANvh9svuAAAAhQEAABMAAAAAAAAA&#10;AAAAAAAAAAAAAFtDb250ZW50X1R5cGVzXS54bWxQSwECLQAUAAYACAAAACEAWvQsW78AAAAVAQAA&#10;CwAAAAAAAAAAAAAAAAAfAQAAX3JlbHMvLnJlbHNQSwECLQAUAAYACAAAACEAaIEv68YAAADbAAAA&#10;DwAAAAAAAAAAAAAAAAAHAgAAZHJzL2Rvd25yZXYueG1sUEsFBgAAAAADAAMAtwAAAPoCAAAAAA==&#10;" stroked="f" strokeweight=".5pt">
                  <v:textbox inset="36pt,7.2pt,36pt,7.2pt">
                    <w:txbxContent>
                      <w:p w14:paraId="2F84DFBA" w14:textId="77777777" w:rsidR="00B222F0" w:rsidRPr="00E57B6F" w:rsidRDefault="00B222F0" w:rsidP="00C41C55">
                        <w:pPr>
                          <w:pStyle w:val="Sinespaciado"/>
                          <w:jc w:val="center"/>
                          <w:rPr>
                            <w:caps/>
                            <w:color w:val="418AB3"/>
                            <w:sz w:val="72"/>
                            <w:szCs w:val="72"/>
                          </w:rPr>
                        </w:pPr>
                      </w:p>
                    </w:txbxContent>
                  </v:textbox>
                </v:shape>
                <w10:wrap anchorx="page" anchory="page"/>
              </v:group>
            </w:pict>
          </mc:Fallback>
        </mc:AlternateContent>
      </w:r>
      <w:r w:rsidR="000A1412">
        <w:rPr>
          <w:rFonts w:ascii="Arial" w:hAnsi="Arial" w:cs="Arial"/>
          <w:b/>
          <w:noProof/>
          <w:sz w:val="24"/>
          <w:szCs w:val="24"/>
          <w:lang w:eastAsia="es-CR"/>
        </w:rPr>
        <w:drawing>
          <wp:anchor distT="0" distB="0" distL="114300" distR="114300" simplePos="0" relativeHeight="251649536" behindDoc="1" locked="0" layoutInCell="1" allowOverlap="1" wp14:anchorId="5842A944" wp14:editId="280738C1">
            <wp:simplePos x="0" y="0"/>
            <wp:positionH relativeFrom="column">
              <wp:posOffset>1580642</wp:posOffset>
            </wp:positionH>
            <wp:positionV relativeFrom="paragraph">
              <wp:posOffset>-269748</wp:posOffset>
            </wp:positionV>
            <wp:extent cx="1816735" cy="998474"/>
            <wp:effectExtent l="171450" t="133350" r="354965" b="296926"/>
            <wp:wrapNone/>
            <wp:docPr id="72"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n 1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6735" cy="998474"/>
                    </a:xfrm>
                    <a:prstGeom prst="rect">
                      <a:avLst/>
                    </a:prstGeom>
                    <a:ln>
                      <a:noFill/>
                    </a:ln>
                    <a:effectLst>
                      <a:outerShdw blurRad="292100" dist="139700" dir="2700000" algn="tl" rotWithShape="0">
                        <a:srgbClr val="333333">
                          <a:alpha val="65000"/>
                        </a:srgbClr>
                      </a:outerShdw>
                    </a:effectLst>
                  </pic:spPr>
                </pic:pic>
              </a:graphicData>
            </a:graphic>
          </wp:anchor>
        </w:drawing>
      </w:r>
      <w:r w:rsidR="00B812EC">
        <w:rPr>
          <w:rFonts w:ascii="Arial" w:hAnsi="Arial" w:cs="Arial"/>
          <w:b/>
          <w:sz w:val="24"/>
          <w:szCs w:val="24"/>
          <w:lang w:val="es-ES"/>
        </w:rPr>
        <w:t xml:space="preserve">       </w:t>
      </w:r>
    </w:p>
    <w:p w14:paraId="6A88EFEC" w14:textId="77777777" w:rsidR="009273EE" w:rsidRDefault="009273EE" w:rsidP="002A12BB">
      <w:pPr>
        <w:spacing w:after="0" w:line="360" w:lineRule="auto"/>
        <w:jc w:val="center"/>
        <w:rPr>
          <w:rFonts w:ascii="Arial" w:hAnsi="Arial" w:cs="Arial"/>
          <w:b/>
          <w:sz w:val="24"/>
          <w:szCs w:val="24"/>
          <w:lang w:val="es-ES"/>
        </w:rPr>
      </w:pPr>
    </w:p>
    <w:p w14:paraId="22692CBE" w14:textId="77777777" w:rsidR="009273EE" w:rsidRDefault="009273EE" w:rsidP="002A12BB">
      <w:pPr>
        <w:spacing w:after="0" w:line="360" w:lineRule="auto"/>
        <w:jc w:val="center"/>
        <w:rPr>
          <w:rFonts w:ascii="Arial" w:hAnsi="Arial" w:cs="Arial"/>
          <w:b/>
          <w:sz w:val="24"/>
          <w:szCs w:val="24"/>
          <w:lang w:val="es-ES"/>
        </w:rPr>
      </w:pPr>
    </w:p>
    <w:p w14:paraId="37E6401A" w14:textId="77777777" w:rsidR="009273EE" w:rsidRDefault="009273EE" w:rsidP="002A12BB">
      <w:pPr>
        <w:spacing w:after="0" w:line="360" w:lineRule="auto"/>
        <w:jc w:val="center"/>
        <w:rPr>
          <w:rFonts w:ascii="Arial" w:hAnsi="Arial" w:cs="Arial"/>
          <w:b/>
          <w:sz w:val="24"/>
          <w:szCs w:val="24"/>
          <w:lang w:val="es-ES"/>
        </w:rPr>
      </w:pPr>
    </w:p>
    <w:p w14:paraId="1735FF70" w14:textId="77777777" w:rsidR="009273EE" w:rsidRDefault="009273EE" w:rsidP="002A12BB">
      <w:pPr>
        <w:spacing w:after="0" w:line="360" w:lineRule="auto"/>
        <w:jc w:val="center"/>
        <w:rPr>
          <w:rFonts w:ascii="Arial" w:hAnsi="Arial" w:cs="Arial"/>
          <w:b/>
          <w:sz w:val="24"/>
          <w:szCs w:val="24"/>
          <w:lang w:val="es-ES"/>
        </w:rPr>
      </w:pPr>
    </w:p>
    <w:p w14:paraId="0D9524F0" w14:textId="77777777" w:rsidR="00535635" w:rsidRPr="00535635" w:rsidRDefault="00535635" w:rsidP="007C0A92">
      <w:pPr>
        <w:tabs>
          <w:tab w:val="left" w:pos="1284"/>
          <w:tab w:val="center" w:pos="4702"/>
        </w:tabs>
        <w:spacing w:after="0" w:line="240" w:lineRule="auto"/>
        <w:jc w:val="center"/>
        <w:rPr>
          <w:rFonts w:ascii="Cambria" w:hAnsi="Cambria" w:cs="Arial"/>
          <w:b/>
          <w:sz w:val="92"/>
          <w:szCs w:val="92"/>
          <w:lang w:val="es-ES"/>
        </w:rPr>
      </w:pPr>
      <w:r w:rsidRPr="00535635">
        <w:rPr>
          <w:rFonts w:ascii="Cambria" w:hAnsi="Cambria" w:cs="Arial"/>
          <w:b/>
          <w:sz w:val="92"/>
          <w:szCs w:val="92"/>
          <w:lang w:val="es-ES"/>
        </w:rPr>
        <w:t>Inf</w:t>
      </w:r>
      <w:r w:rsidR="005D2BF4" w:rsidRPr="00535635">
        <w:rPr>
          <w:rFonts w:ascii="Cambria" w:hAnsi="Cambria" w:cs="Arial"/>
          <w:b/>
          <w:sz w:val="92"/>
          <w:szCs w:val="92"/>
          <w:lang w:val="es-ES"/>
        </w:rPr>
        <w:t>orme</w:t>
      </w:r>
    </w:p>
    <w:p w14:paraId="2DB6B5F9" w14:textId="77777777" w:rsidR="009273EE" w:rsidRPr="00535635" w:rsidRDefault="005D2BF4" w:rsidP="007C0A92">
      <w:pPr>
        <w:spacing w:after="0" w:line="240" w:lineRule="auto"/>
        <w:jc w:val="center"/>
        <w:rPr>
          <w:rFonts w:ascii="Cambria" w:hAnsi="Cambria" w:cs="Arial"/>
          <w:b/>
          <w:sz w:val="92"/>
          <w:szCs w:val="92"/>
          <w:lang w:val="es-ES"/>
        </w:rPr>
      </w:pPr>
      <w:r w:rsidRPr="00535635">
        <w:rPr>
          <w:rFonts w:ascii="Cambria" w:hAnsi="Cambria" w:cs="Arial"/>
          <w:b/>
          <w:sz w:val="92"/>
          <w:szCs w:val="92"/>
          <w:lang w:val="es-ES"/>
        </w:rPr>
        <w:t>Rendición</w:t>
      </w:r>
      <w:r w:rsidR="00535635" w:rsidRPr="00535635">
        <w:rPr>
          <w:rFonts w:ascii="Cambria" w:hAnsi="Cambria" w:cs="Arial"/>
          <w:b/>
          <w:sz w:val="92"/>
          <w:szCs w:val="92"/>
          <w:lang w:val="es-ES"/>
        </w:rPr>
        <w:t xml:space="preserve"> de</w:t>
      </w:r>
      <w:r w:rsidR="00535635">
        <w:rPr>
          <w:rFonts w:ascii="Cambria" w:hAnsi="Cambria" w:cs="Arial"/>
          <w:b/>
          <w:sz w:val="92"/>
          <w:szCs w:val="92"/>
          <w:lang w:val="es-ES"/>
        </w:rPr>
        <w:t xml:space="preserve"> </w:t>
      </w:r>
      <w:r w:rsidR="00535635" w:rsidRPr="00535635">
        <w:rPr>
          <w:rFonts w:ascii="Cambria" w:hAnsi="Cambria" w:cs="Arial"/>
          <w:b/>
          <w:sz w:val="92"/>
          <w:szCs w:val="92"/>
          <w:lang w:val="es-ES"/>
        </w:rPr>
        <w:t>Cuentas</w:t>
      </w:r>
    </w:p>
    <w:p w14:paraId="556FE06E" w14:textId="28A4CF1E" w:rsidR="00535635" w:rsidRPr="00535635" w:rsidRDefault="00535635" w:rsidP="00535635">
      <w:pPr>
        <w:spacing w:after="0" w:line="240" w:lineRule="auto"/>
        <w:jc w:val="center"/>
        <w:rPr>
          <w:rFonts w:ascii="Cambria" w:hAnsi="Cambria" w:cs="Arial"/>
          <w:b/>
          <w:sz w:val="92"/>
          <w:szCs w:val="92"/>
          <w:lang w:val="es-ES"/>
        </w:rPr>
      </w:pPr>
      <w:r w:rsidRPr="00535635">
        <w:rPr>
          <w:rFonts w:ascii="Cambria" w:hAnsi="Cambria" w:cs="Arial"/>
          <w:b/>
          <w:sz w:val="92"/>
          <w:szCs w:val="92"/>
          <w:lang w:val="es-ES"/>
        </w:rPr>
        <w:t>-20</w:t>
      </w:r>
      <w:r w:rsidR="0015194F">
        <w:rPr>
          <w:rFonts w:ascii="Cambria" w:hAnsi="Cambria" w:cs="Arial"/>
          <w:b/>
          <w:sz w:val="92"/>
          <w:szCs w:val="92"/>
          <w:lang w:val="es-ES"/>
        </w:rPr>
        <w:t>2</w:t>
      </w:r>
      <w:r w:rsidR="00787F72">
        <w:rPr>
          <w:rFonts w:ascii="Cambria" w:hAnsi="Cambria" w:cs="Arial"/>
          <w:b/>
          <w:sz w:val="92"/>
          <w:szCs w:val="92"/>
          <w:lang w:val="es-ES"/>
        </w:rPr>
        <w:t>0</w:t>
      </w:r>
      <w:r w:rsidRPr="00535635">
        <w:rPr>
          <w:rFonts w:ascii="Cambria" w:hAnsi="Cambria" w:cs="Arial"/>
          <w:b/>
          <w:sz w:val="92"/>
          <w:szCs w:val="92"/>
          <w:lang w:val="es-ES"/>
        </w:rPr>
        <w:t>-</w:t>
      </w:r>
    </w:p>
    <w:p w14:paraId="4001C709" w14:textId="77777777" w:rsidR="009273EE" w:rsidRDefault="009273EE" w:rsidP="002A12BB">
      <w:pPr>
        <w:spacing w:after="0" w:line="360" w:lineRule="auto"/>
        <w:jc w:val="center"/>
        <w:rPr>
          <w:rFonts w:ascii="Arial" w:hAnsi="Arial" w:cs="Arial"/>
          <w:b/>
          <w:sz w:val="24"/>
          <w:szCs w:val="24"/>
          <w:lang w:val="es-ES"/>
        </w:rPr>
      </w:pPr>
    </w:p>
    <w:p w14:paraId="1F3D6D67" w14:textId="77777777" w:rsidR="009273EE" w:rsidRDefault="009273EE" w:rsidP="002A12BB">
      <w:pPr>
        <w:spacing w:after="0" w:line="360" w:lineRule="auto"/>
        <w:jc w:val="center"/>
        <w:rPr>
          <w:rFonts w:ascii="Arial" w:hAnsi="Arial" w:cs="Arial"/>
          <w:b/>
          <w:sz w:val="24"/>
          <w:szCs w:val="24"/>
          <w:lang w:val="es-ES"/>
        </w:rPr>
      </w:pPr>
    </w:p>
    <w:p w14:paraId="129AC6B0" w14:textId="77777777" w:rsidR="009273EE" w:rsidRDefault="009273EE" w:rsidP="002A12BB">
      <w:pPr>
        <w:spacing w:after="0" w:line="360" w:lineRule="auto"/>
        <w:jc w:val="center"/>
        <w:rPr>
          <w:rFonts w:ascii="Arial" w:hAnsi="Arial" w:cs="Arial"/>
          <w:b/>
          <w:sz w:val="24"/>
          <w:szCs w:val="24"/>
          <w:lang w:val="es-ES"/>
        </w:rPr>
      </w:pPr>
    </w:p>
    <w:p w14:paraId="56C4FF3D" w14:textId="77777777" w:rsidR="009273EE" w:rsidRDefault="009273EE" w:rsidP="002A12BB">
      <w:pPr>
        <w:spacing w:after="0" w:line="360" w:lineRule="auto"/>
        <w:jc w:val="center"/>
        <w:rPr>
          <w:rFonts w:ascii="Arial" w:hAnsi="Arial" w:cs="Arial"/>
          <w:b/>
          <w:sz w:val="24"/>
          <w:szCs w:val="24"/>
          <w:lang w:val="es-ES"/>
        </w:rPr>
      </w:pPr>
    </w:p>
    <w:p w14:paraId="5E80B4EE" w14:textId="77777777" w:rsidR="009273EE" w:rsidRDefault="009273EE" w:rsidP="002A12BB">
      <w:pPr>
        <w:spacing w:after="0" w:line="360" w:lineRule="auto"/>
        <w:jc w:val="center"/>
        <w:rPr>
          <w:rFonts w:ascii="Arial" w:hAnsi="Arial" w:cs="Arial"/>
          <w:b/>
          <w:sz w:val="24"/>
          <w:szCs w:val="24"/>
          <w:lang w:val="es-ES"/>
        </w:rPr>
      </w:pPr>
    </w:p>
    <w:p w14:paraId="0AA9EC46" w14:textId="77777777" w:rsidR="009273EE" w:rsidRDefault="009273EE" w:rsidP="002A12BB">
      <w:pPr>
        <w:spacing w:after="0" w:line="360" w:lineRule="auto"/>
        <w:jc w:val="center"/>
        <w:rPr>
          <w:rFonts w:ascii="Arial" w:hAnsi="Arial" w:cs="Arial"/>
          <w:b/>
          <w:sz w:val="24"/>
          <w:szCs w:val="24"/>
          <w:lang w:val="es-ES"/>
        </w:rPr>
      </w:pPr>
    </w:p>
    <w:p w14:paraId="33D9FCCB" w14:textId="25C89F83" w:rsidR="00C2284B" w:rsidRDefault="00A30CC3" w:rsidP="005734AC">
      <w:pPr>
        <w:spacing w:after="0" w:line="360" w:lineRule="auto"/>
        <w:jc w:val="center"/>
        <w:rPr>
          <w:rFonts w:ascii="Arial" w:hAnsi="Arial" w:cs="Arial"/>
          <w:b/>
          <w:sz w:val="24"/>
          <w:szCs w:val="24"/>
          <w:lang w:val="es-ES"/>
        </w:rPr>
      </w:pPr>
      <w:r>
        <w:rPr>
          <w:rFonts w:ascii="Arial" w:hAnsi="Arial" w:cs="Arial"/>
          <w:b/>
          <w:noProof/>
          <w:sz w:val="24"/>
          <w:szCs w:val="24"/>
          <w:lang w:val="es-ES"/>
        </w:rPr>
        <mc:AlternateContent>
          <mc:Choice Requires="wps">
            <w:drawing>
              <wp:anchor distT="0" distB="0" distL="114300" distR="114300" simplePos="0" relativeHeight="251689472" behindDoc="0" locked="0" layoutInCell="1" allowOverlap="1" wp14:anchorId="79B8C66A" wp14:editId="06D7F46D">
                <wp:simplePos x="0" y="0"/>
                <wp:positionH relativeFrom="column">
                  <wp:posOffset>635</wp:posOffset>
                </wp:positionH>
                <wp:positionV relativeFrom="paragraph">
                  <wp:posOffset>262255</wp:posOffset>
                </wp:positionV>
                <wp:extent cx="5824855" cy="2093595"/>
                <wp:effectExtent l="0" t="317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093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BF80977" w14:textId="77777777" w:rsidR="00B222F0" w:rsidRPr="005D2BF4" w:rsidRDefault="00B222F0" w:rsidP="005D2BF4">
                            <w:pPr>
                              <w:jc w:val="center"/>
                              <w:rPr>
                                <w:rFonts w:ascii="Cambria" w:hAnsi="Cambria"/>
                                <w:b/>
                                <w:color w:val="FFFFFF"/>
                                <w:sz w:val="56"/>
                                <w:szCs w:val="56"/>
                                <w:lang w:val="es-ES"/>
                              </w:rPr>
                            </w:pPr>
                            <w:r w:rsidRPr="005D2BF4">
                              <w:rPr>
                                <w:rFonts w:ascii="Cambria" w:hAnsi="Cambria"/>
                                <w:b/>
                                <w:color w:val="FFFFFF"/>
                                <w:sz w:val="56"/>
                                <w:szCs w:val="56"/>
                                <w:lang w:val="es-ES"/>
                              </w:rPr>
                              <w:t>SALA DE CASACION PENAL</w:t>
                            </w:r>
                          </w:p>
                          <w:p w14:paraId="058FF38D" w14:textId="77777777" w:rsidR="00B222F0" w:rsidRPr="005D2BF4" w:rsidRDefault="00B222F0" w:rsidP="005D2BF4">
                            <w:pPr>
                              <w:jc w:val="center"/>
                              <w:rPr>
                                <w:rFonts w:ascii="Cambria" w:hAnsi="Cambria"/>
                                <w:b/>
                                <w:color w:val="FFFFFF"/>
                                <w:sz w:val="48"/>
                                <w:szCs w:val="48"/>
                                <w:lang w:val="es-ES"/>
                              </w:rPr>
                            </w:pPr>
                            <w:r w:rsidRPr="005D2BF4">
                              <w:rPr>
                                <w:rFonts w:ascii="Cambria" w:hAnsi="Cambria"/>
                                <w:b/>
                                <w:color w:val="FFFFFF"/>
                                <w:sz w:val="48"/>
                                <w:szCs w:val="48"/>
                                <w:lang w:val="es-ES"/>
                              </w:rPr>
                              <w:t>CORTE SUPREMA DE JUSTICIA</w:t>
                            </w:r>
                          </w:p>
                          <w:p w14:paraId="7E7F091D" w14:textId="77777777" w:rsidR="00B222F0" w:rsidRPr="005D2BF4" w:rsidRDefault="00B222F0" w:rsidP="005D2BF4">
                            <w:pPr>
                              <w:jc w:val="center"/>
                              <w:rPr>
                                <w:rFonts w:ascii="Cambria" w:hAnsi="Cambria"/>
                                <w:b/>
                                <w:color w:val="FFFFFF"/>
                                <w:sz w:val="36"/>
                                <w:szCs w:val="36"/>
                                <w:lang w:val="es-ES"/>
                              </w:rPr>
                            </w:pPr>
                            <w:r w:rsidRPr="005D2BF4">
                              <w:rPr>
                                <w:rFonts w:ascii="Cambria" w:hAnsi="Cambria"/>
                                <w:b/>
                                <w:color w:val="FFFFFF"/>
                                <w:sz w:val="36"/>
                                <w:szCs w:val="36"/>
                                <w:lang w:val="es-ES"/>
                              </w:rPr>
                              <w:t>República de Costa Rica</w:t>
                            </w:r>
                          </w:p>
                          <w:p w14:paraId="6A8D93C5" w14:textId="55C1891E" w:rsidR="00B222F0" w:rsidRPr="005D2BF4" w:rsidRDefault="00B222F0" w:rsidP="005D2BF4">
                            <w:pPr>
                              <w:jc w:val="center"/>
                              <w:rPr>
                                <w:rFonts w:ascii="Cambria" w:hAnsi="Cambria"/>
                                <w:b/>
                                <w:color w:val="FFFFFF"/>
                                <w:sz w:val="36"/>
                                <w:szCs w:val="36"/>
                                <w:lang w:val="es-ES"/>
                              </w:rPr>
                            </w:pPr>
                            <w:r w:rsidRPr="005D2BF4">
                              <w:rPr>
                                <w:rFonts w:ascii="Cambria" w:hAnsi="Cambria"/>
                                <w:b/>
                                <w:color w:val="FFFFFF"/>
                                <w:sz w:val="36"/>
                                <w:szCs w:val="36"/>
                                <w:lang w:val="es-ES"/>
                              </w:rPr>
                              <w:t>20</w:t>
                            </w:r>
                            <w:r>
                              <w:rPr>
                                <w:rFonts w:ascii="Cambria" w:hAnsi="Cambria"/>
                                <w:b/>
                                <w:color w:val="FFFFFF"/>
                                <w:sz w:val="36"/>
                                <w:szCs w:val="36"/>
                                <w:lang w:val="es-ES"/>
                              </w:rPr>
                              <w:t>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B8C66A" id="Text Box 42" o:spid="_x0000_s1030" type="#_x0000_t202" style="position:absolute;left:0;text-align:left;margin-left:.05pt;margin-top:20.65pt;width:458.65pt;height:164.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S9wEAANADAAAOAAAAZHJzL2Uyb0RvYy54bWysU9uO0zAQfUfiHyy/06TZBtqo6WrZ1SKk&#10;ZUHa5QMcx0ksEo8Zu03K1zN2uqXAG+LF8lx85syZ8fZ6Gnp2UOg0mJIvFylnykiotWlL/vX5/s2a&#10;M+eFqUUPRpX8qBy/3r1+tR1toTLooK8VMgIxrhhtyTvvbZEkTnZqEG4BVhkKNoCD8GRim9QoRkIf&#10;+iRL07fJCFhbBKmcI+/dHOS7iN80SvrPTeOUZ33JiZuPJ8azCmey24qiRWE7LU80xD+wGIQ2VPQM&#10;dSe8YHvUf0ENWiI4aPxCwpBA02ipYg/UzTL9o5unTlgVeyFxnD3L5P4frHw8fEGm65Jf0aSMGGhG&#10;z2ry7D1MbJUFfUbrCkp7spToJ/LTnGOvzj6A/OaYgdtOmFbdIMLYKVETv2V4mVw8nXFcAKnGT1BT&#10;HbH3EIGmBocgHsnBCJ3mdDzPJnCR5MzX2Wqd55xJimXp5irf5LGGKF6eW3T+g4KBhUvJkYYf4cXh&#10;wflARxQvKaGagXvd93EBevObgxKDJ9IPjGfufqqmqNRZlQrqI/WDMK8VfQO6dIA/OBtppUruvu8F&#10;Ks76j4Y02SxXq7CD0Vjl7zIy8DJSXUaEkQRVcs/ZfL31897uLeq2o0rzFAzckI6Njh0GwWdWJ/q0&#10;NrHx04qHvby0Y9avj7j7CQAA//8DAFBLAwQUAAYACAAAACEAW+rlntsAAAAHAQAADwAAAGRycy9k&#10;b3ducmV2LnhtbEyOwW7CMBBE75X4B2srcSt2gDaQxkFVJY60KkXqdYmXJCJeR7Eh4e9rTu1xNKM3&#10;L9+MthVX6n3jWEMyUyCIS2carjQcvrdPKxA+IBtsHZOGG3nYFJOHHDPjBv6i6z5UIkLYZ6ihDqHL&#10;pPRlTRb9zHXEsTu53mKIsa+k6XGIcNvKuVIv0mLD8aHGjt5rKs/7i9Xw7HbpMJbq85wetj8f3Wl9&#10;W2HQevo4vr2CCDSGvzHc9aM6FNHp6C5svGjvWQQNy2QBIrbrJF2COGpYpIkCWeTyv3/xCwAA//8D&#10;AFBLAQItABQABgAIAAAAIQC2gziS/gAAAOEBAAATAAAAAAAAAAAAAAAAAAAAAABbQ29udGVudF9U&#10;eXBlc10ueG1sUEsBAi0AFAAGAAgAAAAhADj9If/WAAAAlAEAAAsAAAAAAAAAAAAAAAAALwEAAF9y&#10;ZWxzLy5yZWxzUEsBAi0AFAAGAAgAAAAhAFP4OhL3AQAA0AMAAA4AAAAAAAAAAAAAAAAALgIAAGRy&#10;cy9lMm9Eb2MueG1sUEsBAi0AFAAGAAgAAAAhAFvq5Z7bAAAABwEAAA8AAAAAAAAAAAAAAAAAUQQA&#10;AGRycy9kb3ducmV2LnhtbFBLBQYAAAAABAAEAPMAAABZBQAAAAA=&#10;" filled="f" stroked="f" strokecolor="white">
                <v:textbox>
                  <w:txbxContent>
                    <w:p w14:paraId="4BF80977" w14:textId="77777777" w:rsidR="00B222F0" w:rsidRPr="005D2BF4" w:rsidRDefault="00B222F0" w:rsidP="005D2BF4">
                      <w:pPr>
                        <w:jc w:val="center"/>
                        <w:rPr>
                          <w:rFonts w:ascii="Cambria" w:hAnsi="Cambria"/>
                          <w:b/>
                          <w:color w:val="FFFFFF"/>
                          <w:sz w:val="56"/>
                          <w:szCs w:val="56"/>
                          <w:lang w:val="es-ES"/>
                        </w:rPr>
                      </w:pPr>
                      <w:r w:rsidRPr="005D2BF4">
                        <w:rPr>
                          <w:rFonts w:ascii="Cambria" w:hAnsi="Cambria"/>
                          <w:b/>
                          <w:color w:val="FFFFFF"/>
                          <w:sz w:val="56"/>
                          <w:szCs w:val="56"/>
                          <w:lang w:val="es-ES"/>
                        </w:rPr>
                        <w:t>SALA DE CASACION PENAL</w:t>
                      </w:r>
                    </w:p>
                    <w:p w14:paraId="058FF38D" w14:textId="77777777" w:rsidR="00B222F0" w:rsidRPr="005D2BF4" w:rsidRDefault="00B222F0" w:rsidP="005D2BF4">
                      <w:pPr>
                        <w:jc w:val="center"/>
                        <w:rPr>
                          <w:rFonts w:ascii="Cambria" w:hAnsi="Cambria"/>
                          <w:b/>
                          <w:color w:val="FFFFFF"/>
                          <w:sz w:val="48"/>
                          <w:szCs w:val="48"/>
                          <w:lang w:val="es-ES"/>
                        </w:rPr>
                      </w:pPr>
                      <w:r w:rsidRPr="005D2BF4">
                        <w:rPr>
                          <w:rFonts w:ascii="Cambria" w:hAnsi="Cambria"/>
                          <w:b/>
                          <w:color w:val="FFFFFF"/>
                          <w:sz w:val="48"/>
                          <w:szCs w:val="48"/>
                          <w:lang w:val="es-ES"/>
                        </w:rPr>
                        <w:t>CORTE SUPREMA DE JUSTICIA</w:t>
                      </w:r>
                    </w:p>
                    <w:p w14:paraId="7E7F091D" w14:textId="77777777" w:rsidR="00B222F0" w:rsidRPr="005D2BF4" w:rsidRDefault="00B222F0" w:rsidP="005D2BF4">
                      <w:pPr>
                        <w:jc w:val="center"/>
                        <w:rPr>
                          <w:rFonts w:ascii="Cambria" w:hAnsi="Cambria"/>
                          <w:b/>
                          <w:color w:val="FFFFFF"/>
                          <w:sz w:val="36"/>
                          <w:szCs w:val="36"/>
                          <w:lang w:val="es-ES"/>
                        </w:rPr>
                      </w:pPr>
                      <w:r w:rsidRPr="005D2BF4">
                        <w:rPr>
                          <w:rFonts w:ascii="Cambria" w:hAnsi="Cambria"/>
                          <w:b/>
                          <w:color w:val="FFFFFF"/>
                          <w:sz w:val="36"/>
                          <w:szCs w:val="36"/>
                          <w:lang w:val="es-ES"/>
                        </w:rPr>
                        <w:t>República de Costa Rica</w:t>
                      </w:r>
                    </w:p>
                    <w:p w14:paraId="6A8D93C5" w14:textId="55C1891E" w:rsidR="00B222F0" w:rsidRPr="005D2BF4" w:rsidRDefault="00B222F0" w:rsidP="005D2BF4">
                      <w:pPr>
                        <w:jc w:val="center"/>
                        <w:rPr>
                          <w:rFonts w:ascii="Cambria" w:hAnsi="Cambria"/>
                          <w:b/>
                          <w:color w:val="FFFFFF"/>
                          <w:sz w:val="36"/>
                          <w:szCs w:val="36"/>
                          <w:lang w:val="es-ES"/>
                        </w:rPr>
                      </w:pPr>
                      <w:r w:rsidRPr="005D2BF4">
                        <w:rPr>
                          <w:rFonts w:ascii="Cambria" w:hAnsi="Cambria"/>
                          <w:b/>
                          <w:color w:val="FFFFFF"/>
                          <w:sz w:val="36"/>
                          <w:szCs w:val="36"/>
                          <w:lang w:val="es-ES"/>
                        </w:rPr>
                        <w:t>20</w:t>
                      </w:r>
                      <w:r>
                        <w:rPr>
                          <w:rFonts w:ascii="Cambria" w:hAnsi="Cambria"/>
                          <w:b/>
                          <w:color w:val="FFFFFF"/>
                          <w:sz w:val="36"/>
                          <w:szCs w:val="36"/>
                          <w:lang w:val="es-ES"/>
                        </w:rPr>
                        <w:t>21</w:t>
                      </w:r>
                    </w:p>
                  </w:txbxContent>
                </v:textbox>
              </v:shape>
            </w:pict>
          </mc:Fallback>
        </mc:AlternateContent>
      </w:r>
      <w:r w:rsidR="00C41C55">
        <w:rPr>
          <w:rFonts w:ascii="Arial" w:hAnsi="Arial" w:cs="Arial"/>
          <w:b/>
          <w:sz w:val="24"/>
          <w:szCs w:val="24"/>
          <w:lang w:val="es-ES"/>
        </w:rPr>
        <w:br w:type="page"/>
      </w:r>
      <w:r w:rsidR="00C2284B">
        <w:rPr>
          <w:rFonts w:ascii="Arial" w:hAnsi="Arial" w:cs="Arial"/>
          <w:b/>
          <w:sz w:val="24"/>
          <w:szCs w:val="24"/>
          <w:lang w:val="es-ES"/>
        </w:rPr>
        <w:lastRenderedPageBreak/>
        <w:t>TABLA DE CONTENIDOS:</w:t>
      </w:r>
    </w:p>
    <w:p w14:paraId="4CC3B689" w14:textId="77777777" w:rsidR="00C2284B" w:rsidRPr="00C2284B" w:rsidRDefault="001A6332" w:rsidP="005734AC">
      <w:pPr>
        <w:spacing w:after="0" w:line="360" w:lineRule="auto"/>
        <w:jc w:val="center"/>
        <w:rPr>
          <w:noProof/>
          <w:lang w:val="es-ES"/>
        </w:rPr>
      </w:pPr>
      <w:r w:rsidRPr="00247970">
        <w:rPr>
          <w:rFonts w:ascii="Arial" w:hAnsi="Arial" w:cs="Arial"/>
          <w:b/>
          <w:sz w:val="24"/>
          <w:szCs w:val="24"/>
          <w:lang w:val="es-ES"/>
        </w:rPr>
        <w:fldChar w:fldCharType="begin"/>
      </w:r>
      <w:r w:rsidR="005734AC" w:rsidRPr="00247970">
        <w:rPr>
          <w:rFonts w:ascii="Arial" w:hAnsi="Arial" w:cs="Arial"/>
          <w:b/>
          <w:sz w:val="24"/>
          <w:szCs w:val="24"/>
          <w:lang w:val="es-ES"/>
        </w:rPr>
        <w:instrText xml:space="preserve"> TOC \o "1-4" \h \z \u </w:instrText>
      </w:r>
      <w:r w:rsidRPr="00247970">
        <w:rPr>
          <w:rFonts w:ascii="Arial" w:hAnsi="Arial" w:cs="Arial"/>
          <w:b/>
          <w:sz w:val="24"/>
          <w:szCs w:val="24"/>
          <w:lang w:val="es-ES"/>
        </w:rPr>
        <w:fldChar w:fldCharType="separate"/>
      </w:r>
    </w:p>
    <w:p w14:paraId="0B3E87DB" w14:textId="6E77543C" w:rsidR="00C2284B" w:rsidRDefault="00172260">
      <w:pPr>
        <w:pStyle w:val="TDC1"/>
        <w:tabs>
          <w:tab w:val="left" w:pos="440"/>
          <w:tab w:val="right" w:leader="dot" w:pos="9394"/>
        </w:tabs>
        <w:rPr>
          <w:noProof/>
          <w:lang w:eastAsia="es-ES"/>
        </w:rPr>
      </w:pPr>
      <w:hyperlink w:anchor="_Toc510690296" w:history="1">
        <w:r w:rsidR="00C2284B" w:rsidRPr="00766FA7">
          <w:rPr>
            <w:rStyle w:val="Hipervnculo"/>
            <w:noProof/>
          </w:rPr>
          <w:t>1</w:t>
        </w:r>
        <w:r w:rsidR="00C2284B">
          <w:rPr>
            <w:noProof/>
            <w:lang w:eastAsia="es-ES"/>
          </w:rPr>
          <w:tab/>
        </w:r>
        <w:r w:rsidR="00C2284B" w:rsidRPr="00766FA7">
          <w:rPr>
            <w:rStyle w:val="Hipervnculo"/>
            <w:noProof/>
          </w:rPr>
          <w:t>PRESENTACIÓN:</w:t>
        </w:r>
        <w:r w:rsidR="00C2284B">
          <w:rPr>
            <w:noProof/>
            <w:webHidden/>
          </w:rPr>
          <w:tab/>
        </w:r>
        <w:r w:rsidR="001A6332">
          <w:rPr>
            <w:noProof/>
            <w:webHidden/>
          </w:rPr>
          <w:fldChar w:fldCharType="begin"/>
        </w:r>
        <w:r w:rsidR="00C2284B">
          <w:rPr>
            <w:noProof/>
            <w:webHidden/>
          </w:rPr>
          <w:instrText xml:space="preserve"> PAGEREF _Toc510690296 \h </w:instrText>
        </w:r>
        <w:r w:rsidR="001A6332">
          <w:rPr>
            <w:noProof/>
            <w:webHidden/>
          </w:rPr>
        </w:r>
        <w:r w:rsidR="001A6332">
          <w:rPr>
            <w:noProof/>
            <w:webHidden/>
          </w:rPr>
          <w:fldChar w:fldCharType="separate"/>
        </w:r>
        <w:r w:rsidR="000A5304">
          <w:rPr>
            <w:noProof/>
            <w:webHidden/>
          </w:rPr>
          <w:t>4</w:t>
        </w:r>
        <w:r w:rsidR="001A6332">
          <w:rPr>
            <w:noProof/>
            <w:webHidden/>
          </w:rPr>
          <w:fldChar w:fldCharType="end"/>
        </w:r>
      </w:hyperlink>
    </w:p>
    <w:p w14:paraId="78EE871D" w14:textId="3A5614D5" w:rsidR="00C2284B" w:rsidRPr="00716068" w:rsidRDefault="00172260">
      <w:pPr>
        <w:pStyle w:val="TDC1"/>
        <w:tabs>
          <w:tab w:val="left" w:pos="440"/>
          <w:tab w:val="right" w:leader="dot" w:pos="9394"/>
        </w:tabs>
        <w:rPr>
          <w:noProof/>
          <w:u w:val="single"/>
          <w:lang w:eastAsia="es-ES"/>
        </w:rPr>
      </w:pPr>
      <w:hyperlink w:anchor="_Toc510690297" w:history="1">
        <w:r w:rsidR="00C2284B" w:rsidRPr="00716068">
          <w:rPr>
            <w:rStyle w:val="Hipervnculo"/>
            <w:noProof/>
          </w:rPr>
          <w:t>2</w:t>
        </w:r>
        <w:r w:rsidR="00C2284B" w:rsidRPr="00716068">
          <w:rPr>
            <w:noProof/>
            <w:u w:val="single"/>
            <w:lang w:eastAsia="es-ES"/>
          </w:rPr>
          <w:tab/>
        </w:r>
        <w:r w:rsidR="00C2284B" w:rsidRPr="00716068">
          <w:rPr>
            <w:rStyle w:val="Hipervnculo"/>
            <w:noProof/>
          </w:rPr>
          <w:t>Balance General Estadístico Anual de 20</w:t>
        </w:r>
        <w:r w:rsidR="00787F72" w:rsidRPr="00716068">
          <w:rPr>
            <w:rStyle w:val="Hipervnculo"/>
            <w:noProof/>
          </w:rPr>
          <w:t>20</w:t>
        </w:r>
        <w:r w:rsidR="00C2284B" w:rsidRPr="00716068">
          <w:rPr>
            <w:rStyle w:val="Hipervnculo"/>
            <w:noProof/>
          </w:rPr>
          <w:t>.</w:t>
        </w:r>
        <w:r w:rsidR="00C2284B" w:rsidRPr="00716068">
          <w:rPr>
            <w:noProof/>
            <w:webHidden/>
            <w:u w:val="single"/>
          </w:rPr>
          <w:tab/>
        </w:r>
        <w:r w:rsidR="003215F3" w:rsidRPr="00716068">
          <w:rPr>
            <w:noProof/>
            <w:webHidden/>
            <w:u w:val="single"/>
          </w:rPr>
          <w:t>7</w:t>
        </w:r>
      </w:hyperlink>
    </w:p>
    <w:p w14:paraId="71C26A54" w14:textId="6F6781F0" w:rsidR="00C2284B" w:rsidRPr="00716068" w:rsidRDefault="00172260">
      <w:pPr>
        <w:pStyle w:val="TDC2"/>
        <w:tabs>
          <w:tab w:val="left" w:pos="880"/>
          <w:tab w:val="right" w:leader="dot" w:pos="9394"/>
        </w:tabs>
        <w:rPr>
          <w:noProof/>
          <w:u w:val="single"/>
          <w:lang w:eastAsia="es-ES"/>
        </w:rPr>
      </w:pPr>
      <w:hyperlink w:anchor="_Toc510690298" w:history="1">
        <w:r w:rsidR="00C2284B" w:rsidRPr="00716068">
          <w:rPr>
            <w:rStyle w:val="Hipervnculo"/>
            <w:noProof/>
          </w:rPr>
          <w:t>2.1</w:t>
        </w:r>
        <w:r w:rsidR="00C2284B" w:rsidRPr="00716068">
          <w:rPr>
            <w:noProof/>
            <w:u w:val="single"/>
            <w:lang w:eastAsia="es-ES"/>
          </w:rPr>
          <w:tab/>
        </w:r>
        <w:r w:rsidR="00C2284B" w:rsidRPr="00716068">
          <w:rPr>
            <w:rStyle w:val="Hipervnculo"/>
            <w:noProof/>
          </w:rPr>
          <w:t>Datos estadísticos generales en materia Penal de Adultos.</w:t>
        </w:r>
        <w:r w:rsidR="00C2284B" w:rsidRPr="00716068">
          <w:rPr>
            <w:noProof/>
            <w:webHidden/>
            <w:u w:val="single"/>
          </w:rPr>
          <w:tab/>
        </w:r>
        <w:r w:rsidR="0056697D">
          <w:rPr>
            <w:noProof/>
            <w:webHidden/>
            <w:u w:val="single"/>
          </w:rPr>
          <w:t>8</w:t>
        </w:r>
      </w:hyperlink>
    </w:p>
    <w:p w14:paraId="4A761007" w14:textId="71E4AD29" w:rsidR="00C2284B" w:rsidRPr="00716068" w:rsidRDefault="00172260">
      <w:pPr>
        <w:pStyle w:val="TDC2"/>
        <w:tabs>
          <w:tab w:val="left" w:pos="880"/>
          <w:tab w:val="right" w:leader="dot" w:pos="9394"/>
        </w:tabs>
        <w:rPr>
          <w:noProof/>
          <w:u w:val="single"/>
          <w:lang w:eastAsia="es-ES"/>
        </w:rPr>
      </w:pPr>
      <w:hyperlink w:anchor="_Toc510690299" w:history="1">
        <w:r w:rsidR="00C2284B" w:rsidRPr="00716068">
          <w:rPr>
            <w:rStyle w:val="Hipervnculo"/>
            <w:noProof/>
          </w:rPr>
          <w:t>2.2</w:t>
        </w:r>
        <w:r w:rsidR="00C2284B" w:rsidRPr="00716068">
          <w:rPr>
            <w:noProof/>
            <w:u w:val="single"/>
            <w:lang w:eastAsia="es-ES"/>
          </w:rPr>
          <w:tab/>
        </w:r>
        <w:r w:rsidR="00C2284B" w:rsidRPr="00716068">
          <w:rPr>
            <w:rStyle w:val="Hipervnculo"/>
            <w:noProof/>
          </w:rPr>
          <w:t>Asuntos entrados y reentrados por recurrente.</w:t>
        </w:r>
        <w:r w:rsidR="00C2284B" w:rsidRPr="00716068">
          <w:rPr>
            <w:noProof/>
            <w:webHidden/>
            <w:u w:val="single"/>
          </w:rPr>
          <w:tab/>
        </w:r>
        <w:r w:rsidR="003215F3" w:rsidRPr="00716068">
          <w:rPr>
            <w:noProof/>
            <w:webHidden/>
            <w:u w:val="single"/>
          </w:rPr>
          <w:t>9</w:t>
        </w:r>
      </w:hyperlink>
    </w:p>
    <w:p w14:paraId="2E51AB98" w14:textId="1EF2301C" w:rsidR="00C2284B" w:rsidRPr="00716068" w:rsidRDefault="00172260">
      <w:pPr>
        <w:pStyle w:val="TDC3"/>
        <w:tabs>
          <w:tab w:val="left" w:pos="1320"/>
          <w:tab w:val="right" w:leader="dot" w:pos="9394"/>
        </w:tabs>
        <w:rPr>
          <w:noProof/>
          <w:u w:val="single"/>
          <w:lang w:eastAsia="es-ES"/>
        </w:rPr>
      </w:pPr>
      <w:hyperlink w:anchor="_Toc510690300" w:history="1">
        <w:r w:rsidR="00C2284B" w:rsidRPr="00716068">
          <w:rPr>
            <w:rStyle w:val="Hipervnculo"/>
            <w:noProof/>
          </w:rPr>
          <w:t>2.2.1</w:t>
        </w:r>
        <w:r w:rsidR="00C2284B" w:rsidRPr="00716068">
          <w:rPr>
            <w:noProof/>
            <w:u w:val="single"/>
            <w:lang w:eastAsia="es-ES"/>
          </w:rPr>
          <w:tab/>
        </w:r>
        <w:r w:rsidR="00C2284B" w:rsidRPr="00716068">
          <w:rPr>
            <w:rStyle w:val="Hipervnculo"/>
            <w:noProof/>
          </w:rPr>
          <w:t>Total de recurrentes en los asuntos entrados y reentrados en el 20</w:t>
        </w:r>
        <w:r w:rsidR="00787F72" w:rsidRPr="00716068">
          <w:rPr>
            <w:rStyle w:val="Hipervnculo"/>
            <w:noProof/>
          </w:rPr>
          <w:t>20</w:t>
        </w:r>
        <w:r w:rsidR="00C2284B" w:rsidRPr="00716068">
          <w:rPr>
            <w:rStyle w:val="Hipervnculo"/>
            <w:noProof/>
          </w:rPr>
          <w:t xml:space="preserve"> (por tipo de recurrente).</w:t>
        </w:r>
        <w:r w:rsidR="00C2284B" w:rsidRPr="00716068">
          <w:rPr>
            <w:noProof/>
            <w:webHidden/>
            <w:u w:val="single"/>
          </w:rPr>
          <w:tab/>
        </w:r>
        <w:r w:rsidR="003215F3" w:rsidRPr="00716068">
          <w:rPr>
            <w:noProof/>
            <w:webHidden/>
            <w:u w:val="single"/>
          </w:rPr>
          <w:t>9</w:t>
        </w:r>
      </w:hyperlink>
    </w:p>
    <w:p w14:paraId="0E30B1E6" w14:textId="569FF269" w:rsidR="00C2284B" w:rsidRPr="00716068" w:rsidRDefault="00172260">
      <w:pPr>
        <w:pStyle w:val="TDC3"/>
        <w:tabs>
          <w:tab w:val="left" w:pos="1320"/>
          <w:tab w:val="right" w:leader="dot" w:pos="9394"/>
        </w:tabs>
        <w:rPr>
          <w:noProof/>
          <w:u w:val="single"/>
          <w:lang w:eastAsia="es-ES"/>
        </w:rPr>
      </w:pPr>
      <w:hyperlink w:anchor="_Toc510690301" w:history="1">
        <w:r w:rsidR="00C2284B" w:rsidRPr="00716068">
          <w:rPr>
            <w:rStyle w:val="Hipervnculo"/>
            <w:noProof/>
          </w:rPr>
          <w:t>2.2.2</w:t>
        </w:r>
        <w:r w:rsidR="00C2284B" w:rsidRPr="00716068">
          <w:rPr>
            <w:noProof/>
            <w:u w:val="single"/>
            <w:lang w:eastAsia="es-ES"/>
          </w:rPr>
          <w:tab/>
        </w:r>
        <w:r w:rsidR="00C2284B" w:rsidRPr="00716068">
          <w:rPr>
            <w:rStyle w:val="Hipervnculo"/>
            <w:noProof/>
          </w:rPr>
          <w:t>Total de recurrentes intervinientes en los recursos de casación.</w:t>
        </w:r>
        <w:r w:rsidR="00C2284B" w:rsidRPr="00716068">
          <w:rPr>
            <w:noProof/>
            <w:webHidden/>
            <w:u w:val="single"/>
          </w:rPr>
          <w:tab/>
        </w:r>
        <w:r w:rsidR="003215F3" w:rsidRPr="00716068">
          <w:rPr>
            <w:noProof/>
            <w:webHidden/>
            <w:u w:val="single"/>
          </w:rPr>
          <w:t>11</w:t>
        </w:r>
      </w:hyperlink>
    </w:p>
    <w:p w14:paraId="7D25898F" w14:textId="0C0BF765" w:rsidR="00C2284B" w:rsidRDefault="00172260">
      <w:pPr>
        <w:pStyle w:val="TDC3"/>
        <w:tabs>
          <w:tab w:val="left" w:pos="1320"/>
          <w:tab w:val="right" w:leader="dot" w:pos="9394"/>
        </w:tabs>
        <w:rPr>
          <w:noProof/>
          <w:lang w:eastAsia="es-ES"/>
        </w:rPr>
      </w:pPr>
      <w:hyperlink w:anchor="_Toc510690302" w:history="1">
        <w:r w:rsidR="00C2284B" w:rsidRPr="00766FA7">
          <w:rPr>
            <w:rStyle w:val="Hipervnculo"/>
            <w:noProof/>
          </w:rPr>
          <w:t>2.2.3</w:t>
        </w:r>
        <w:r w:rsidR="00C2284B">
          <w:rPr>
            <w:noProof/>
            <w:lang w:eastAsia="es-ES"/>
          </w:rPr>
          <w:tab/>
        </w:r>
        <w:r w:rsidR="00C2284B" w:rsidRPr="00766FA7">
          <w:rPr>
            <w:rStyle w:val="Hipervnculo"/>
            <w:noProof/>
          </w:rPr>
          <w:t>Total de recurrentes intervinientes en los asuntos entrados por procedimientos de revisión.</w:t>
        </w:r>
        <w:r w:rsidR="003215F3">
          <w:rPr>
            <w:noProof/>
            <w:webHidden/>
          </w:rPr>
          <w:t xml:space="preserve"> ………………………………………………………………………………………………………………………………………..</w:t>
        </w:r>
        <w:r w:rsidR="001A6332">
          <w:rPr>
            <w:noProof/>
            <w:webHidden/>
          </w:rPr>
          <w:fldChar w:fldCharType="begin"/>
        </w:r>
        <w:r w:rsidR="00C2284B">
          <w:rPr>
            <w:noProof/>
            <w:webHidden/>
          </w:rPr>
          <w:instrText xml:space="preserve"> PAGEREF _Toc510690302 \h </w:instrText>
        </w:r>
        <w:r w:rsidR="001A6332">
          <w:rPr>
            <w:noProof/>
            <w:webHidden/>
          </w:rPr>
        </w:r>
        <w:r w:rsidR="001A6332">
          <w:rPr>
            <w:noProof/>
            <w:webHidden/>
          </w:rPr>
          <w:fldChar w:fldCharType="separate"/>
        </w:r>
        <w:r w:rsidR="000A5304">
          <w:rPr>
            <w:noProof/>
            <w:webHidden/>
          </w:rPr>
          <w:t>12</w:t>
        </w:r>
        <w:r w:rsidR="001A6332">
          <w:rPr>
            <w:noProof/>
            <w:webHidden/>
          </w:rPr>
          <w:fldChar w:fldCharType="end"/>
        </w:r>
      </w:hyperlink>
    </w:p>
    <w:p w14:paraId="44327D92" w14:textId="2CAACE27" w:rsidR="00C2284B" w:rsidRDefault="00172260">
      <w:pPr>
        <w:pStyle w:val="TDC2"/>
        <w:tabs>
          <w:tab w:val="left" w:pos="880"/>
          <w:tab w:val="right" w:leader="dot" w:pos="9394"/>
        </w:tabs>
        <w:rPr>
          <w:noProof/>
          <w:lang w:eastAsia="es-ES"/>
        </w:rPr>
      </w:pPr>
      <w:hyperlink w:anchor="_Toc510690304" w:history="1">
        <w:r w:rsidR="00C2284B" w:rsidRPr="00766FA7">
          <w:rPr>
            <w:rStyle w:val="Hipervnculo"/>
            <w:noProof/>
          </w:rPr>
          <w:t>2.3</w:t>
        </w:r>
        <w:r w:rsidR="00C2284B">
          <w:rPr>
            <w:noProof/>
            <w:lang w:eastAsia="es-ES"/>
          </w:rPr>
          <w:tab/>
        </w:r>
        <w:r w:rsidR="00C2284B" w:rsidRPr="00766FA7">
          <w:rPr>
            <w:rStyle w:val="Hipervnculo"/>
            <w:noProof/>
          </w:rPr>
          <w:t>Asuntos resueltos.</w:t>
        </w:r>
        <w:r w:rsidR="00C2284B">
          <w:rPr>
            <w:noProof/>
            <w:webHidden/>
          </w:rPr>
          <w:tab/>
        </w:r>
        <w:r w:rsidR="001A6332">
          <w:rPr>
            <w:noProof/>
            <w:webHidden/>
          </w:rPr>
          <w:fldChar w:fldCharType="begin"/>
        </w:r>
        <w:r w:rsidR="00C2284B">
          <w:rPr>
            <w:noProof/>
            <w:webHidden/>
          </w:rPr>
          <w:instrText xml:space="preserve"> PAGEREF _Toc510690304 \h </w:instrText>
        </w:r>
        <w:r w:rsidR="001A6332">
          <w:rPr>
            <w:noProof/>
            <w:webHidden/>
          </w:rPr>
        </w:r>
        <w:r w:rsidR="001A6332">
          <w:rPr>
            <w:noProof/>
            <w:webHidden/>
          </w:rPr>
          <w:fldChar w:fldCharType="separate"/>
        </w:r>
        <w:r w:rsidR="000A5304">
          <w:rPr>
            <w:noProof/>
            <w:webHidden/>
          </w:rPr>
          <w:t>13</w:t>
        </w:r>
        <w:r w:rsidR="001A6332">
          <w:rPr>
            <w:noProof/>
            <w:webHidden/>
          </w:rPr>
          <w:fldChar w:fldCharType="end"/>
        </w:r>
      </w:hyperlink>
    </w:p>
    <w:p w14:paraId="60082334" w14:textId="13535EF9" w:rsidR="00C2284B" w:rsidRDefault="00172260">
      <w:pPr>
        <w:pStyle w:val="TDC3"/>
        <w:tabs>
          <w:tab w:val="left" w:pos="1320"/>
          <w:tab w:val="right" w:leader="dot" w:pos="9394"/>
        </w:tabs>
        <w:rPr>
          <w:noProof/>
          <w:lang w:eastAsia="es-ES"/>
        </w:rPr>
      </w:pPr>
      <w:hyperlink w:anchor="_Toc510690305" w:history="1">
        <w:r w:rsidR="00C2284B" w:rsidRPr="00766FA7">
          <w:rPr>
            <w:rStyle w:val="Hipervnculo"/>
            <w:noProof/>
          </w:rPr>
          <w:t>2.3.1</w:t>
        </w:r>
        <w:r w:rsidR="00C2284B">
          <w:rPr>
            <w:noProof/>
            <w:lang w:eastAsia="es-ES"/>
          </w:rPr>
          <w:tab/>
        </w:r>
        <w:r w:rsidR="00C2284B" w:rsidRPr="00766FA7">
          <w:rPr>
            <w:rStyle w:val="Hipervnculo"/>
            <w:noProof/>
          </w:rPr>
          <w:t>Total asuntos resueltos por tipo de resolución.</w:t>
        </w:r>
        <w:r w:rsidR="00C2284B">
          <w:rPr>
            <w:noProof/>
            <w:webHidden/>
          </w:rPr>
          <w:tab/>
        </w:r>
        <w:r w:rsidR="001A6332">
          <w:rPr>
            <w:noProof/>
            <w:webHidden/>
          </w:rPr>
          <w:fldChar w:fldCharType="begin"/>
        </w:r>
        <w:r w:rsidR="00C2284B">
          <w:rPr>
            <w:noProof/>
            <w:webHidden/>
          </w:rPr>
          <w:instrText xml:space="preserve"> PAGEREF _Toc510690305 \h </w:instrText>
        </w:r>
        <w:r w:rsidR="001A6332">
          <w:rPr>
            <w:noProof/>
            <w:webHidden/>
          </w:rPr>
        </w:r>
        <w:r w:rsidR="001A6332">
          <w:rPr>
            <w:noProof/>
            <w:webHidden/>
          </w:rPr>
          <w:fldChar w:fldCharType="separate"/>
        </w:r>
        <w:r w:rsidR="000A5304">
          <w:rPr>
            <w:noProof/>
            <w:webHidden/>
          </w:rPr>
          <w:t>13</w:t>
        </w:r>
        <w:r w:rsidR="001A6332">
          <w:rPr>
            <w:noProof/>
            <w:webHidden/>
          </w:rPr>
          <w:fldChar w:fldCharType="end"/>
        </w:r>
      </w:hyperlink>
    </w:p>
    <w:p w14:paraId="37940E26" w14:textId="16008318" w:rsidR="00C2284B" w:rsidRDefault="00172260">
      <w:pPr>
        <w:pStyle w:val="TDC2"/>
        <w:tabs>
          <w:tab w:val="left" w:pos="880"/>
          <w:tab w:val="right" w:leader="dot" w:pos="9394"/>
        </w:tabs>
        <w:rPr>
          <w:noProof/>
          <w:lang w:eastAsia="es-ES"/>
        </w:rPr>
      </w:pPr>
      <w:hyperlink w:anchor="_Toc510690310" w:history="1">
        <w:r w:rsidR="00C2284B" w:rsidRPr="00766FA7">
          <w:rPr>
            <w:rStyle w:val="Hipervnculo"/>
            <w:noProof/>
          </w:rPr>
          <w:t>2.4</w:t>
        </w:r>
        <w:r w:rsidR="00C2284B">
          <w:rPr>
            <w:noProof/>
            <w:lang w:eastAsia="es-ES"/>
          </w:rPr>
          <w:tab/>
        </w:r>
        <w:r w:rsidR="00C2284B" w:rsidRPr="00766FA7">
          <w:rPr>
            <w:rStyle w:val="Hipervnculo"/>
            <w:noProof/>
          </w:rPr>
          <w:t>Recursos de casación.</w:t>
        </w:r>
        <w:r w:rsidR="00C2284B">
          <w:rPr>
            <w:noProof/>
            <w:webHidden/>
          </w:rPr>
          <w:tab/>
        </w:r>
        <w:r w:rsidR="003215F3">
          <w:rPr>
            <w:noProof/>
            <w:webHidden/>
          </w:rPr>
          <w:t>1</w:t>
        </w:r>
        <w:r w:rsidR="00626EC9">
          <w:rPr>
            <w:noProof/>
            <w:webHidden/>
          </w:rPr>
          <w:t>4</w:t>
        </w:r>
      </w:hyperlink>
    </w:p>
    <w:p w14:paraId="31164143" w14:textId="45F2ED1D" w:rsidR="00C2284B" w:rsidRDefault="00172260">
      <w:pPr>
        <w:pStyle w:val="TDC2"/>
        <w:tabs>
          <w:tab w:val="left" w:pos="880"/>
          <w:tab w:val="right" w:leader="dot" w:pos="9394"/>
        </w:tabs>
        <w:rPr>
          <w:noProof/>
          <w:lang w:eastAsia="es-ES"/>
        </w:rPr>
      </w:pPr>
      <w:hyperlink w:anchor="_Toc510690314" w:history="1">
        <w:r w:rsidR="00C2284B" w:rsidRPr="00766FA7">
          <w:rPr>
            <w:rStyle w:val="Hipervnculo"/>
            <w:noProof/>
          </w:rPr>
          <w:t>2.5</w:t>
        </w:r>
        <w:r w:rsidR="00C2284B">
          <w:rPr>
            <w:noProof/>
            <w:lang w:eastAsia="es-ES"/>
          </w:rPr>
          <w:tab/>
        </w:r>
        <w:r w:rsidR="00C2284B" w:rsidRPr="00766FA7">
          <w:rPr>
            <w:rStyle w:val="Hipervnculo"/>
            <w:noProof/>
          </w:rPr>
          <w:t>Procedimientos de revisión.</w:t>
        </w:r>
        <w:r w:rsidR="00C2284B">
          <w:rPr>
            <w:noProof/>
            <w:webHidden/>
          </w:rPr>
          <w:tab/>
        </w:r>
        <w:r w:rsidR="001A6332">
          <w:rPr>
            <w:noProof/>
            <w:webHidden/>
          </w:rPr>
          <w:fldChar w:fldCharType="begin"/>
        </w:r>
        <w:r w:rsidR="00C2284B">
          <w:rPr>
            <w:noProof/>
            <w:webHidden/>
          </w:rPr>
          <w:instrText xml:space="preserve"> PAGEREF _Toc510690314 \h </w:instrText>
        </w:r>
        <w:r w:rsidR="001A6332">
          <w:rPr>
            <w:noProof/>
            <w:webHidden/>
          </w:rPr>
        </w:r>
        <w:r w:rsidR="001A6332">
          <w:rPr>
            <w:noProof/>
            <w:webHidden/>
          </w:rPr>
          <w:fldChar w:fldCharType="separate"/>
        </w:r>
        <w:r w:rsidR="000A5304">
          <w:rPr>
            <w:noProof/>
            <w:webHidden/>
          </w:rPr>
          <w:t>15</w:t>
        </w:r>
        <w:r w:rsidR="001A6332">
          <w:rPr>
            <w:noProof/>
            <w:webHidden/>
          </w:rPr>
          <w:fldChar w:fldCharType="end"/>
        </w:r>
      </w:hyperlink>
    </w:p>
    <w:p w14:paraId="5FF4DE03" w14:textId="3A3F9C94" w:rsidR="00C2284B" w:rsidRDefault="00172260">
      <w:pPr>
        <w:pStyle w:val="TDC2"/>
        <w:tabs>
          <w:tab w:val="left" w:pos="880"/>
          <w:tab w:val="right" w:leader="dot" w:pos="9394"/>
        </w:tabs>
        <w:rPr>
          <w:noProof/>
          <w:lang w:eastAsia="es-ES"/>
        </w:rPr>
      </w:pPr>
      <w:hyperlink w:anchor="_Toc510690318" w:history="1">
        <w:r w:rsidR="00C2284B" w:rsidRPr="00766FA7">
          <w:rPr>
            <w:rStyle w:val="Hipervnculo"/>
            <w:noProof/>
          </w:rPr>
          <w:t>2.6</w:t>
        </w:r>
        <w:r w:rsidR="00C2284B">
          <w:rPr>
            <w:noProof/>
            <w:lang w:eastAsia="es-ES"/>
          </w:rPr>
          <w:tab/>
        </w:r>
        <w:r w:rsidR="00C2284B" w:rsidRPr="00766FA7">
          <w:rPr>
            <w:rStyle w:val="Hipervnculo"/>
            <w:noProof/>
          </w:rPr>
          <w:t>Duración promedio de las resoluciones en general emitidas por la Sala de Casación Penal de la Corte Suprema de Justicia.</w:t>
        </w:r>
        <w:r w:rsidR="00C2284B">
          <w:rPr>
            <w:noProof/>
            <w:webHidden/>
          </w:rPr>
          <w:tab/>
        </w:r>
        <w:r w:rsidR="00626EC9">
          <w:rPr>
            <w:noProof/>
            <w:webHidden/>
          </w:rPr>
          <w:t>1</w:t>
        </w:r>
        <w:r w:rsidR="00A95267">
          <w:rPr>
            <w:noProof/>
            <w:webHidden/>
          </w:rPr>
          <w:t>7</w:t>
        </w:r>
      </w:hyperlink>
    </w:p>
    <w:p w14:paraId="4FF60DAD" w14:textId="5601F52A" w:rsidR="00C2284B" w:rsidRDefault="00172260">
      <w:pPr>
        <w:pStyle w:val="TDC1"/>
        <w:tabs>
          <w:tab w:val="left" w:pos="440"/>
          <w:tab w:val="right" w:leader="dot" w:pos="9394"/>
        </w:tabs>
        <w:rPr>
          <w:noProof/>
          <w:lang w:eastAsia="es-ES"/>
        </w:rPr>
      </w:pPr>
      <w:hyperlink w:anchor="_Toc510690319" w:history="1">
        <w:r w:rsidR="00C2284B" w:rsidRPr="00766FA7">
          <w:rPr>
            <w:rStyle w:val="Hipervnculo"/>
            <w:noProof/>
          </w:rPr>
          <w:t>3</w:t>
        </w:r>
        <w:r w:rsidR="00C2284B">
          <w:rPr>
            <w:noProof/>
            <w:lang w:eastAsia="es-ES"/>
          </w:rPr>
          <w:tab/>
        </w:r>
        <w:r w:rsidR="00C2284B" w:rsidRPr="00766FA7">
          <w:rPr>
            <w:rStyle w:val="Hipervnculo"/>
            <w:noProof/>
          </w:rPr>
          <w:t>Datos Estadísticas Generales en Materia Penal Juvenil:</w:t>
        </w:r>
        <w:r w:rsidR="00C2284B">
          <w:rPr>
            <w:noProof/>
            <w:webHidden/>
          </w:rPr>
          <w:tab/>
        </w:r>
        <w:r w:rsidR="00626EC9">
          <w:rPr>
            <w:noProof/>
            <w:webHidden/>
          </w:rPr>
          <w:t>19</w:t>
        </w:r>
      </w:hyperlink>
    </w:p>
    <w:p w14:paraId="2D7797F7" w14:textId="79A74D7F" w:rsidR="00C2284B" w:rsidRDefault="00172260">
      <w:pPr>
        <w:pStyle w:val="TDC2"/>
        <w:tabs>
          <w:tab w:val="left" w:pos="880"/>
          <w:tab w:val="right" w:leader="dot" w:pos="9394"/>
        </w:tabs>
        <w:rPr>
          <w:noProof/>
          <w:lang w:eastAsia="es-ES"/>
        </w:rPr>
      </w:pPr>
      <w:hyperlink w:anchor="_Toc510690320" w:history="1">
        <w:r w:rsidR="00C2284B" w:rsidRPr="00766FA7">
          <w:rPr>
            <w:rStyle w:val="Hipervnculo"/>
            <w:noProof/>
          </w:rPr>
          <w:t>3.1</w:t>
        </w:r>
        <w:r w:rsidR="00C2284B">
          <w:rPr>
            <w:noProof/>
            <w:lang w:eastAsia="es-ES"/>
          </w:rPr>
          <w:tab/>
        </w:r>
        <w:r w:rsidR="00C2284B" w:rsidRPr="00766FA7">
          <w:rPr>
            <w:rStyle w:val="Hipervnculo"/>
            <w:noProof/>
          </w:rPr>
          <w:t>Balance General:</w:t>
        </w:r>
        <w:r w:rsidR="00C2284B">
          <w:rPr>
            <w:noProof/>
            <w:webHidden/>
          </w:rPr>
          <w:tab/>
        </w:r>
      </w:hyperlink>
      <w:r w:rsidR="00626EC9">
        <w:rPr>
          <w:noProof/>
        </w:rPr>
        <w:t>20</w:t>
      </w:r>
    </w:p>
    <w:p w14:paraId="600DAAB5" w14:textId="15E8BA19" w:rsidR="00C2284B" w:rsidRDefault="00172260">
      <w:pPr>
        <w:pStyle w:val="TDC2"/>
        <w:tabs>
          <w:tab w:val="left" w:pos="880"/>
          <w:tab w:val="right" w:leader="dot" w:pos="9394"/>
        </w:tabs>
        <w:rPr>
          <w:noProof/>
          <w:lang w:eastAsia="es-ES"/>
        </w:rPr>
      </w:pPr>
      <w:hyperlink w:anchor="_Toc510690321" w:history="1">
        <w:r w:rsidR="00C2284B" w:rsidRPr="00766FA7">
          <w:rPr>
            <w:rStyle w:val="Hipervnculo"/>
            <w:noProof/>
          </w:rPr>
          <w:t>3.2</w:t>
        </w:r>
        <w:r w:rsidR="00C2284B">
          <w:rPr>
            <w:noProof/>
            <w:lang w:eastAsia="es-ES"/>
          </w:rPr>
          <w:tab/>
        </w:r>
        <w:r w:rsidR="00C2284B" w:rsidRPr="00766FA7">
          <w:rPr>
            <w:rStyle w:val="Hipervnculo"/>
            <w:noProof/>
          </w:rPr>
          <w:t>Asuntos Ingresados:</w:t>
        </w:r>
        <w:r w:rsidR="00C2284B">
          <w:rPr>
            <w:noProof/>
            <w:webHidden/>
          </w:rPr>
          <w:tab/>
        </w:r>
        <w:r w:rsidR="001A6332">
          <w:rPr>
            <w:noProof/>
            <w:webHidden/>
          </w:rPr>
          <w:fldChar w:fldCharType="begin"/>
        </w:r>
        <w:r w:rsidR="00C2284B">
          <w:rPr>
            <w:noProof/>
            <w:webHidden/>
          </w:rPr>
          <w:instrText xml:space="preserve"> PAGEREF _Toc510690321 \h </w:instrText>
        </w:r>
        <w:r w:rsidR="001A6332">
          <w:rPr>
            <w:noProof/>
            <w:webHidden/>
          </w:rPr>
        </w:r>
        <w:r w:rsidR="001A6332">
          <w:rPr>
            <w:noProof/>
            <w:webHidden/>
          </w:rPr>
          <w:fldChar w:fldCharType="separate"/>
        </w:r>
        <w:r w:rsidR="000A5304">
          <w:rPr>
            <w:noProof/>
            <w:webHidden/>
          </w:rPr>
          <w:t>21</w:t>
        </w:r>
        <w:r w:rsidR="001A6332">
          <w:rPr>
            <w:noProof/>
            <w:webHidden/>
          </w:rPr>
          <w:fldChar w:fldCharType="end"/>
        </w:r>
      </w:hyperlink>
    </w:p>
    <w:p w14:paraId="3FE9BBBC" w14:textId="3015E574" w:rsidR="00C2284B" w:rsidRDefault="00172260">
      <w:pPr>
        <w:pStyle w:val="TDC2"/>
        <w:tabs>
          <w:tab w:val="left" w:pos="880"/>
          <w:tab w:val="right" w:leader="dot" w:pos="9394"/>
        </w:tabs>
        <w:rPr>
          <w:noProof/>
          <w:lang w:eastAsia="es-ES"/>
        </w:rPr>
      </w:pPr>
      <w:hyperlink w:anchor="_Toc510690323" w:history="1">
        <w:r w:rsidR="00C2284B" w:rsidRPr="00766FA7">
          <w:rPr>
            <w:rStyle w:val="Hipervnculo"/>
            <w:noProof/>
          </w:rPr>
          <w:t>3.3</w:t>
        </w:r>
        <w:r w:rsidR="00C2284B">
          <w:rPr>
            <w:noProof/>
            <w:lang w:eastAsia="es-ES"/>
          </w:rPr>
          <w:tab/>
        </w:r>
        <w:r w:rsidR="00C2284B" w:rsidRPr="00766FA7">
          <w:rPr>
            <w:rStyle w:val="Hipervnculo"/>
            <w:noProof/>
          </w:rPr>
          <w:t>Asuntos resueltos:</w:t>
        </w:r>
        <w:r w:rsidR="00C2284B">
          <w:rPr>
            <w:noProof/>
            <w:webHidden/>
          </w:rPr>
          <w:tab/>
        </w:r>
        <w:r w:rsidR="001A6332">
          <w:rPr>
            <w:noProof/>
            <w:webHidden/>
          </w:rPr>
          <w:fldChar w:fldCharType="begin"/>
        </w:r>
        <w:r w:rsidR="00C2284B">
          <w:rPr>
            <w:noProof/>
            <w:webHidden/>
          </w:rPr>
          <w:instrText xml:space="preserve"> PAGEREF _Toc510690323 \h </w:instrText>
        </w:r>
        <w:r w:rsidR="001A6332">
          <w:rPr>
            <w:noProof/>
            <w:webHidden/>
          </w:rPr>
        </w:r>
        <w:r w:rsidR="001A6332">
          <w:rPr>
            <w:noProof/>
            <w:webHidden/>
          </w:rPr>
          <w:fldChar w:fldCharType="separate"/>
        </w:r>
        <w:r w:rsidR="000A5304">
          <w:rPr>
            <w:noProof/>
            <w:webHidden/>
          </w:rPr>
          <w:t>23</w:t>
        </w:r>
        <w:r w:rsidR="001A6332">
          <w:rPr>
            <w:noProof/>
            <w:webHidden/>
          </w:rPr>
          <w:fldChar w:fldCharType="end"/>
        </w:r>
      </w:hyperlink>
    </w:p>
    <w:p w14:paraId="04D3F0F2" w14:textId="057274EA" w:rsidR="00C2284B" w:rsidRDefault="00172260">
      <w:pPr>
        <w:pStyle w:val="TDC3"/>
        <w:tabs>
          <w:tab w:val="left" w:pos="1320"/>
          <w:tab w:val="right" w:leader="dot" w:pos="9394"/>
        </w:tabs>
        <w:rPr>
          <w:noProof/>
          <w:lang w:eastAsia="es-ES"/>
        </w:rPr>
      </w:pPr>
      <w:hyperlink w:anchor="_Toc510690324" w:history="1">
        <w:r w:rsidR="00C2284B" w:rsidRPr="00766FA7">
          <w:rPr>
            <w:rStyle w:val="Hipervnculo"/>
            <w:noProof/>
          </w:rPr>
          <w:t>3.3.1</w:t>
        </w:r>
        <w:r w:rsidR="00C2284B">
          <w:rPr>
            <w:noProof/>
            <w:lang w:eastAsia="es-ES"/>
          </w:rPr>
          <w:tab/>
        </w:r>
        <w:r w:rsidR="00C2284B" w:rsidRPr="00766FA7">
          <w:rPr>
            <w:rStyle w:val="Hipervnculo"/>
            <w:noProof/>
          </w:rPr>
          <w:t>Asuntos resueltos por recurrente:</w:t>
        </w:r>
        <w:r w:rsidR="00C2284B">
          <w:rPr>
            <w:noProof/>
            <w:webHidden/>
          </w:rPr>
          <w:tab/>
        </w:r>
      </w:hyperlink>
    </w:p>
    <w:p w14:paraId="51CF18A1" w14:textId="1856FDF2" w:rsidR="00C2284B" w:rsidRDefault="00172260">
      <w:pPr>
        <w:pStyle w:val="TDC1"/>
        <w:tabs>
          <w:tab w:val="left" w:pos="440"/>
          <w:tab w:val="right" w:leader="dot" w:pos="9394"/>
        </w:tabs>
        <w:rPr>
          <w:noProof/>
          <w:lang w:eastAsia="es-ES"/>
        </w:rPr>
      </w:pPr>
      <w:hyperlink w:anchor="_Toc510690325" w:history="1">
        <w:r w:rsidR="00C2284B" w:rsidRPr="00766FA7">
          <w:rPr>
            <w:rStyle w:val="Hipervnculo"/>
            <w:noProof/>
          </w:rPr>
          <w:t>4</w:t>
        </w:r>
        <w:r w:rsidR="00C2284B">
          <w:rPr>
            <w:noProof/>
            <w:lang w:eastAsia="es-ES"/>
          </w:rPr>
          <w:tab/>
        </w:r>
        <w:r w:rsidR="00C2284B" w:rsidRPr="00766FA7">
          <w:rPr>
            <w:rStyle w:val="Hipervnculo"/>
            <w:noProof/>
          </w:rPr>
          <w:t>ACTIVIDADES DE CAPACITACION:</w:t>
        </w:r>
        <w:r w:rsidR="00C2284B">
          <w:rPr>
            <w:noProof/>
            <w:webHidden/>
          </w:rPr>
          <w:tab/>
        </w:r>
        <w:r w:rsidR="00626EC9">
          <w:rPr>
            <w:noProof/>
            <w:webHidden/>
          </w:rPr>
          <w:t>25</w:t>
        </w:r>
      </w:hyperlink>
    </w:p>
    <w:p w14:paraId="7CFBD1ED" w14:textId="357884E4" w:rsidR="00C2284B" w:rsidRDefault="00172260">
      <w:pPr>
        <w:pStyle w:val="TDC1"/>
        <w:tabs>
          <w:tab w:val="left" w:pos="440"/>
          <w:tab w:val="right" w:leader="dot" w:pos="9394"/>
        </w:tabs>
        <w:rPr>
          <w:noProof/>
          <w:lang w:eastAsia="es-ES"/>
        </w:rPr>
      </w:pPr>
      <w:hyperlink w:anchor="_Toc510690326" w:history="1">
        <w:r w:rsidR="00C2284B" w:rsidRPr="00766FA7">
          <w:rPr>
            <w:rStyle w:val="Hipervnculo"/>
            <w:noProof/>
          </w:rPr>
          <w:t>5</w:t>
        </w:r>
        <w:r w:rsidR="00C2284B">
          <w:rPr>
            <w:noProof/>
            <w:lang w:eastAsia="es-ES"/>
          </w:rPr>
          <w:tab/>
        </w:r>
      </w:hyperlink>
      <w:hyperlink w:anchor="_Toc510690327" w:history="1">
        <w:r w:rsidR="00C2284B" w:rsidRPr="00766FA7">
          <w:rPr>
            <w:rStyle w:val="Hipervnculo"/>
            <w:noProof/>
          </w:rPr>
          <w:t>RECURSOS DE HÁBEAS CORPUS:</w:t>
        </w:r>
        <w:r w:rsidR="00C2284B">
          <w:rPr>
            <w:noProof/>
            <w:webHidden/>
          </w:rPr>
          <w:tab/>
        </w:r>
        <w:r w:rsidR="00626EC9">
          <w:rPr>
            <w:noProof/>
            <w:webHidden/>
          </w:rPr>
          <w:t>26</w:t>
        </w:r>
      </w:hyperlink>
    </w:p>
    <w:p w14:paraId="2806F7B9" w14:textId="725A7CB0" w:rsidR="00C2284B" w:rsidRDefault="00172260">
      <w:pPr>
        <w:pStyle w:val="TDC1"/>
        <w:tabs>
          <w:tab w:val="left" w:pos="440"/>
          <w:tab w:val="right" w:leader="dot" w:pos="9394"/>
        </w:tabs>
        <w:rPr>
          <w:noProof/>
          <w:lang w:eastAsia="es-ES"/>
        </w:rPr>
      </w:pPr>
      <w:hyperlink w:anchor="_Toc510690329" w:history="1">
        <w:r w:rsidR="00C2284B">
          <w:rPr>
            <w:noProof/>
            <w:lang w:eastAsia="es-ES"/>
          </w:rPr>
          <w:tab/>
        </w:r>
        <w:r w:rsidR="00C2284B" w:rsidRPr="00766FA7">
          <w:rPr>
            <w:rStyle w:val="Hipervnculo"/>
            <w:noProof/>
          </w:rPr>
          <w:t>COMISIONES Y PROGRAMAS.</w:t>
        </w:r>
        <w:r w:rsidR="00C2284B">
          <w:rPr>
            <w:noProof/>
            <w:webHidden/>
          </w:rPr>
          <w:tab/>
        </w:r>
        <w:r w:rsidR="00626EC9">
          <w:rPr>
            <w:noProof/>
            <w:webHidden/>
          </w:rPr>
          <w:t>28</w:t>
        </w:r>
      </w:hyperlink>
    </w:p>
    <w:p w14:paraId="2E5A3FE3" w14:textId="7CDADBDD" w:rsidR="00C2284B" w:rsidRDefault="00172260" w:rsidP="0077016D">
      <w:pPr>
        <w:pStyle w:val="TDC2"/>
        <w:tabs>
          <w:tab w:val="left" w:pos="880"/>
          <w:tab w:val="right" w:leader="dot" w:pos="9394"/>
        </w:tabs>
        <w:ind w:left="0"/>
        <w:rPr>
          <w:noProof/>
          <w:lang w:eastAsia="es-ES"/>
        </w:rPr>
      </w:pPr>
      <w:hyperlink w:anchor="_Toc510690330" w:history="1">
        <w:r w:rsidR="00716068">
          <w:rPr>
            <w:rStyle w:val="Hipervnculo"/>
            <w:noProof/>
          </w:rPr>
          <w:t>6</w:t>
        </w:r>
        <w:r w:rsidR="00322EAE">
          <w:rPr>
            <w:rStyle w:val="Hipervnculo"/>
            <w:noProof/>
          </w:rPr>
          <w:t xml:space="preserve">      </w:t>
        </w:r>
        <w:r w:rsidR="00C2284B" w:rsidRPr="00766FA7">
          <w:rPr>
            <w:rStyle w:val="Hipervnculo"/>
            <w:noProof/>
          </w:rPr>
          <w:t xml:space="preserve">COMISION DE </w:t>
        </w:r>
        <w:r w:rsidR="00626EC9">
          <w:rPr>
            <w:rStyle w:val="Hipervnculo"/>
            <w:noProof/>
          </w:rPr>
          <w:t>CIBERSEGURIDAD Y CIBERDELINCUENCIA</w:t>
        </w:r>
        <w:r w:rsidR="00C2284B" w:rsidRPr="00766FA7">
          <w:rPr>
            <w:rStyle w:val="Hipervnculo"/>
            <w:noProof/>
          </w:rPr>
          <w:t>.</w:t>
        </w:r>
        <w:r w:rsidR="00C2284B">
          <w:rPr>
            <w:noProof/>
            <w:webHidden/>
          </w:rPr>
          <w:tab/>
        </w:r>
        <w:r w:rsidR="00626EC9">
          <w:rPr>
            <w:noProof/>
            <w:webHidden/>
          </w:rPr>
          <w:t>28</w:t>
        </w:r>
      </w:hyperlink>
    </w:p>
    <w:p w14:paraId="5751AC79" w14:textId="63D402FF" w:rsidR="00C2284B" w:rsidRDefault="00172260" w:rsidP="0077016D">
      <w:pPr>
        <w:pStyle w:val="TDC2"/>
        <w:tabs>
          <w:tab w:val="left" w:pos="880"/>
          <w:tab w:val="right" w:leader="dot" w:pos="9394"/>
        </w:tabs>
        <w:ind w:left="0"/>
        <w:rPr>
          <w:noProof/>
          <w:lang w:eastAsia="es-ES"/>
        </w:rPr>
      </w:pPr>
      <w:hyperlink w:anchor="_Toc510690331" w:history="1">
        <w:r w:rsidR="00716068">
          <w:rPr>
            <w:rStyle w:val="Hipervnculo"/>
            <w:noProof/>
          </w:rPr>
          <w:t xml:space="preserve">7   </w:t>
        </w:r>
        <w:r w:rsidR="00322EAE">
          <w:rPr>
            <w:rStyle w:val="Hipervnculo"/>
            <w:noProof/>
          </w:rPr>
          <w:t xml:space="preserve">   </w:t>
        </w:r>
        <w:r w:rsidR="00771426">
          <w:rPr>
            <w:rStyle w:val="Hipervnculo"/>
            <w:noProof/>
          </w:rPr>
          <w:t>SUBCOMISIÓN DE ACCESO A LA JUSITICIA PARA PERSONAS PRIVADAS DE LIBERTAD</w:t>
        </w:r>
        <w:r w:rsidR="00C2284B">
          <w:rPr>
            <w:noProof/>
            <w:webHidden/>
          </w:rPr>
          <w:tab/>
        </w:r>
      </w:hyperlink>
      <w:r w:rsidR="00626EC9">
        <w:rPr>
          <w:noProof/>
        </w:rPr>
        <w:t>4</w:t>
      </w:r>
      <w:r w:rsidR="00771426">
        <w:rPr>
          <w:noProof/>
        </w:rPr>
        <w:t>0</w:t>
      </w:r>
    </w:p>
    <w:p w14:paraId="735282F5" w14:textId="36C3F7CD" w:rsidR="00C2284B" w:rsidRDefault="00172260" w:rsidP="0077016D">
      <w:pPr>
        <w:pStyle w:val="TDC2"/>
        <w:tabs>
          <w:tab w:val="left" w:pos="880"/>
          <w:tab w:val="right" w:leader="dot" w:pos="9394"/>
        </w:tabs>
        <w:ind w:left="0"/>
        <w:rPr>
          <w:noProof/>
          <w:lang w:eastAsia="es-ES"/>
        </w:rPr>
      </w:pPr>
      <w:hyperlink w:anchor="_Toc510690332" w:history="1">
        <w:r w:rsidR="005318A2">
          <w:rPr>
            <w:rStyle w:val="Hipervnculo"/>
            <w:noProof/>
          </w:rPr>
          <w:t>9</w:t>
        </w:r>
        <w:r w:rsidR="00322EAE">
          <w:rPr>
            <w:rStyle w:val="Hipervnculo"/>
            <w:noProof/>
          </w:rPr>
          <w:t xml:space="preserve">      </w:t>
        </w:r>
        <w:r w:rsidR="005318A2">
          <w:rPr>
            <w:rStyle w:val="Hipervnculo"/>
            <w:noProof/>
          </w:rPr>
          <w:t>PROYECTO CORTE/INL/FIU FORTALECIMIENTO DE LA RESPUESTA JUDICIAL ANTE LA DELINCUENCIA ORGANIZADA EN COSTA RICA</w:t>
        </w:r>
        <w:r w:rsidR="0077016D">
          <w:rPr>
            <w:noProof/>
            <w:lang w:eastAsia="es-ES"/>
          </w:rPr>
          <w:t>.</w:t>
        </w:r>
        <w:r w:rsidR="00C2284B">
          <w:rPr>
            <w:noProof/>
            <w:webHidden/>
          </w:rPr>
          <w:tab/>
        </w:r>
        <w:r w:rsidR="005318A2">
          <w:rPr>
            <w:noProof/>
            <w:webHidden/>
          </w:rPr>
          <w:t>50</w:t>
        </w:r>
      </w:hyperlink>
    </w:p>
    <w:p w14:paraId="3F76EB83" w14:textId="618CD99F" w:rsidR="00C2284B" w:rsidRDefault="005318A2" w:rsidP="0077016D">
      <w:pPr>
        <w:pStyle w:val="TDC2"/>
        <w:tabs>
          <w:tab w:val="left" w:pos="880"/>
          <w:tab w:val="right" w:leader="dot" w:pos="9394"/>
        </w:tabs>
        <w:ind w:left="0"/>
        <w:rPr>
          <w:noProof/>
          <w:lang w:eastAsia="es-ES"/>
        </w:rPr>
      </w:pPr>
      <w:r>
        <w:t>10</w:t>
      </w:r>
      <w:hyperlink w:anchor="_Toc510690333" w:history="1">
        <w:r w:rsidR="00322EAE">
          <w:rPr>
            <w:rStyle w:val="Hipervnculo"/>
            <w:noProof/>
          </w:rPr>
          <w:t xml:space="preserve">    </w:t>
        </w:r>
        <w:r>
          <w:rPr>
            <w:rStyle w:val="Hipervnculo"/>
            <w:noProof/>
          </w:rPr>
          <w:t>COMISIÓN INSTITUCIONAL DE TRATA DE PERSONAS</w:t>
        </w:r>
        <w:r w:rsidR="00C2284B">
          <w:rPr>
            <w:noProof/>
            <w:webHidden/>
          </w:rPr>
          <w:tab/>
        </w:r>
        <w:r>
          <w:rPr>
            <w:noProof/>
            <w:webHidden/>
          </w:rPr>
          <w:t>52</w:t>
        </w:r>
      </w:hyperlink>
    </w:p>
    <w:p w14:paraId="5035D9D4" w14:textId="0D5ADA63" w:rsidR="00C2284B" w:rsidRDefault="00172260">
      <w:pPr>
        <w:pStyle w:val="TDC1"/>
        <w:tabs>
          <w:tab w:val="left" w:pos="440"/>
          <w:tab w:val="right" w:leader="dot" w:pos="9394"/>
        </w:tabs>
        <w:rPr>
          <w:noProof/>
          <w:lang w:eastAsia="es-ES"/>
        </w:rPr>
      </w:pPr>
      <w:hyperlink w:anchor="_Toc510690334" w:history="1">
        <w:r w:rsidR="00716068">
          <w:rPr>
            <w:rStyle w:val="Hipervnculo"/>
            <w:noProof/>
          </w:rPr>
          <w:t>1</w:t>
        </w:r>
        <w:r w:rsidR="005318A2">
          <w:rPr>
            <w:rStyle w:val="Hipervnculo"/>
            <w:noProof/>
          </w:rPr>
          <w:t>1</w:t>
        </w:r>
        <w:r w:rsidR="00C2284B">
          <w:rPr>
            <w:noProof/>
            <w:lang w:eastAsia="es-ES"/>
          </w:rPr>
          <w:tab/>
        </w:r>
        <w:r w:rsidR="005318A2">
          <w:rPr>
            <w:noProof/>
            <w:lang w:eastAsia="es-ES"/>
          </w:rPr>
          <w:t>SUB</w:t>
        </w:r>
        <w:r w:rsidR="0077016D">
          <w:rPr>
            <w:noProof/>
            <w:lang w:eastAsia="es-ES"/>
          </w:rPr>
          <w:t xml:space="preserve">COMISION DE </w:t>
        </w:r>
        <w:r w:rsidR="005318A2">
          <w:rPr>
            <w:noProof/>
            <w:lang w:eastAsia="es-ES"/>
          </w:rPr>
          <w:t>DELINCUENCIA ORGANIZADA</w:t>
        </w:r>
        <w:r w:rsidR="00C2284B">
          <w:rPr>
            <w:noProof/>
            <w:webHidden/>
          </w:rPr>
          <w:tab/>
        </w:r>
        <w:r w:rsidR="005318A2">
          <w:rPr>
            <w:noProof/>
            <w:webHidden/>
          </w:rPr>
          <w:t>53</w:t>
        </w:r>
      </w:hyperlink>
    </w:p>
    <w:p w14:paraId="3CF280AB" w14:textId="30B03FEF" w:rsidR="00C2284B" w:rsidRDefault="00172260">
      <w:pPr>
        <w:pStyle w:val="TDC1"/>
        <w:tabs>
          <w:tab w:val="left" w:pos="660"/>
          <w:tab w:val="right" w:leader="dot" w:pos="9394"/>
        </w:tabs>
        <w:rPr>
          <w:noProof/>
          <w:lang w:eastAsia="es-ES"/>
        </w:rPr>
      </w:pPr>
      <w:hyperlink w:anchor="_Toc510690335" w:history="1">
        <w:r w:rsidR="00C2284B" w:rsidRPr="00766FA7">
          <w:rPr>
            <w:rStyle w:val="Hipervnculo"/>
            <w:noProof/>
          </w:rPr>
          <w:t>1</w:t>
        </w:r>
        <w:r w:rsidR="005318A2">
          <w:rPr>
            <w:rStyle w:val="Hipervnculo"/>
            <w:noProof/>
          </w:rPr>
          <w:t>2</w:t>
        </w:r>
        <w:r w:rsidR="00322EAE">
          <w:rPr>
            <w:rStyle w:val="Hipervnculo"/>
            <w:noProof/>
          </w:rPr>
          <w:t xml:space="preserve">    </w:t>
        </w:r>
        <w:r w:rsidR="00322EAE">
          <w:rPr>
            <w:noProof/>
            <w:lang w:eastAsia="es-ES"/>
          </w:rPr>
          <w:t xml:space="preserve">COMISION DE </w:t>
        </w:r>
        <w:r w:rsidR="005318A2">
          <w:rPr>
            <w:noProof/>
            <w:lang w:eastAsia="es-ES"/>
          </w:rPr>
          <w:t>REGLAMENTO DE COMISIONES</w:t>
        </w:r>
        <w:r w:rsidR="00C2284B">
          <w:rPr>
            <w:noProof/>
            <w:webHidden/>
          </w:rPr>
          <w:tab/>
        </w:r>
        <w:r w:rsidR="005318A2">
          <w:rPr>
            <w:noProof/>
            <w:webHidden/>
          </w:rPr>
          <w:t>64</w:t>
        </w:r>
      </w:hyperlink>
    </w:p>
    <w:p w14:paraId="6228F7F4" w14:textId="30EBAE0B" w:rsidR="005318A2" w:rsidRDefault="00322EAE">
      <w:pPr>
        <w:pStyle w:val="TDC1"/>
        <w:tabs>
          <w:tab w:val="right" w:leader="dot" w:pos="9394"/>
        </w:tabs>
      </w:pPr>
      <w:r>
        <w:t>1</w:t>
      </w:r>
      <w:r w:rsidR="005318A2">
        <w:t>3</w:t>
      </w:r>
      <w:r>
        <w:t xml:space="preserve">     COMISION </w:t>
      </w:r>
      <w:r w:rsidR="005318A2">
        <w:t>GERENCIAL DE TECNOLOGIA DE LA NFORMACION</w:t>
      </w:r>
      <w:r>
        <w:t>…</w:t>
      </w:r>
      <w:r w:rsidR="00D306C6">
        <w:t>……</w:t>
      </w:r>
      <w:r w:rsidR="005318A2">
        <w:t>.</w:t>
      </w:r>
      <w:r>
        <w:t>…</w:t>
      </w:r>
      <w:r w:rsidR="005318A2">
        <w:t>……………</w:t>
      </w:r>
      <w:r w:rsidR="00D306C6">
        <w:t>..</w:t>
      </w:r>
      <w:r w:rsidR="005318A2">
        <w:t>……………</w:t>
      </w:r>
      <w:r w:rsidR="00D306C6">
        <w:t>.</w:t>
      </w:r>
      <w:r w:rsidR="005318A2">
        <w:t>………………67</w:t>
      </w:r>
    </w:p>
    <w:p w14:paraId="4D31DD97" w14:textId="1700E13E" w:rsidR="00C2284B" w:rsidRDefault="00322EAE">
      <w:pPr>
        <w:pStyle w:val="TDC1"/>
        <w:tabs>
          <w:tab w:val="right" w:leader="dot" w:pos="9394"/>
        </w:tabs>
        <w:rPr>
          <w:noProof/>
          <w:lang w:eastAsia="es-ES"/>
        </w:rPr>
      </w:pPr>
      <w:r>
        <w:lastRenderedPageBreak/>
        <w:t>1</w:t>
      </w:r>
      <w:r w:rsidR="005318A2">
        <w:t>4</w:t>
      </w:r>
      <w:r>
        <w:t xml:space="preserve">     </w:t>
      </w:r>
      <w:r w:rsidR="005318A2">
        <w:t>COMISIÓN NACIONAL DE FLAGRANCIA</w:t>
      </w:r>
      <w:r w:rsidR="00CE01B8">
        <w:t xml:space="preserve"> ……………….</w:t>
      </w:r>
      <w:r>
        <w:t>…………………………………………</w:t>
      </w:r>
      <w:r w:rsidR="005318A2">
        <w:t>…………………………….</w:t>
      </w:r>
      <w:r w:rsidR="00D306C6">
        <w:t>70</w:t>
      </w:r>
      <w:r>
        <w:t xml:space="preserve">                   </w:t>
      </w:r>
    </w:p>
    <w:p w14:paraId="008C5499" w14:textId="4D9C7D5E" w:rsidR="00CE01B8" w:rsidRDefault="00CE01B8">
      <w:pPr>
        <w:pStyle w:val="TDC1"/>
        <w:tabs>
          <w:tab w:val="right" w:leader="dot" w:pos="9394"/>
        </w:tabs>
      </w:pPr>
      <w:r>
        <w:t>15     SUB COMISION PENAL JUVENIL……………………………………………………</w:t>
      </w:r>
      <w:r w:rsidR="00F11488">
        <w:t>.</w:t>
      </w:r>
      <w:r>
        <w:t>……………………………………………</w:t>
      </w:r>
      <w:r w:rsidR="005318A2">
        <w:t>…8</w:t>
      </w:r>
      <w:r w:rsidR="00D306C6">
        <w:t>6</w:t>
      </w:r>
    </w:p>
    <w:p w14:paraId="093633F9" w14:textId="563CEC69" w:rsidR="00CE01B8" w:rsidRDefault="00CE01B8">
      <w:pPr>
        <w:pStyle w:val="TDC1"/>
        <w:tabs>
          <w:tab w:val="right" w:leader="dot" w:pos="9394"/>
        </w:tabs>
      </w:pPr>
      <w:r>
        <w:t xml:space="preserve">16   </w:t>
      </w:r>
      <w:r w:rsidR="005318A2">
        <w:t xml:space="preserve">  DIRECCIÓN NACIONAL DE JUSTICIA RESTAURATIVA</w:t>
      </w:r>
      <w:r>
        <w:t>……………………</w:t>
      </w:r>
      <w:r w:rsidR="00F11488">
        <w:t>………………………………</w:t>
      </w:r>
      <w:r>
        <w:t>……………….</w:t>
      </w:r>
      <w:r w:rsidR="00F11488">
        <w:t>.</w:t>
      </w:r>
      <w:r w:rsidR="00D306C6">
        <w:t>90</w:t>
      </w:r>
    </w:p>
    <w:p w14:paraId="7AFFB176" w14:textId="4D60154E" w:rsidR="00D306C6" w:rsidRPr="00D306C6" w:rsidRDefault="00CE01B8" w:rsidP="00D306C6">
      <w:pPr>
        <w:pStyle w:val="TDC1"/>
        <w:tabs>
          <w:tab w:val="right" w:leader="dot" w:pos="9394"/>
        </w:tabs>
      </w:pPr>
      <w:r>
        <w:t>1</w:t>
      </w:r>
      <w:r w:rsidR="00F11488">
        <w:t>7</w:t>
      </w:r>
      <w:r>
        <w:t xml:space="preserve">    COMISION DE </w:t>
      </w:r>
      <w:r w:rsidR="00F11488">
        <w:t>LA JURISDICCIÓN PENAL</w:t>
      </w:r>
      <w:r>
        <w:t xml:space="preserve"> </w:t>
      </w:r>
      <w:r w:rsidR="00F11488">
        <w:t>………………………….</w:t>
      </w:r>
      <w:r>
        <w:t>…………………………………………………………</w:t>
      </w:r>
      <w:r w:rsidR="00F11488">
        <w:t>…11</w:t>
      </w:r>
      <w:r w:rsidR="00D306C6">
        <w:t>6</w:t>
      </w:r>
    </w:p>
    <w:p w14:paraId="02BEC2CF" w14:textId="1992A62B" w:rsidR="00CE01B8" w:rsidRDefault="00CE01B8">
      <w:pPr>
        <w:pStyle w:val="TDC1"/>
        <w:tabs>
          <w:tab w:val="right" w:leader="dot" w:pos="9394"/>
        </w:tabs>
      </w:pPr>
      <w:r>
        <w:t>1</w:t>
      </w:r>
      <w:r w:rsidR="00F11488">
        <w:t>8</w:t>
      </w:r>
      <w:r>
        <w:t xml:space="preserve"> </w:t>
      </w:r>
      <w:r w:rsidR="00F11488">
        <w:t xml:space="preserve">   CENTRO GESTOR DE LA JURISDICCIÓN PENAL</w:t>
      </w:r>
      <w:r>
        <w:t>……………………………………………………………………</w:t>
      </w:r>
      <w:r w:rsidR="00F11488">
        <w:t>………</w:t>
      </w:r>
      <w:r>
        <w:t>…</w:t>
      </w:r>
      <w:r w:rsidR="00D306C6">
        <w:t>217</w:t>
      </w:r>
      <w:r>
        <w:t xml:space="preserve">   </w:t>
      </w:r>
      <w:r w:rsidR="00CF518F">
        <w:t>1</w:t>
      </w:r>
      <w:r w:rsidR="00F11488">
        <w:t>9    COMISIÓN ESPECIAL DE SUPERVISIÓN EXTERNA AL CENTRO JUDICIAL DE INTERVENCIÓN DE LAS COMUNICACIONES………………………………………………</w:t>
      </w:r>
      <w:r>
        <w:t>……………………………………………………………………………</w:t>
      </w:r>
      <w:r w:rsidR="00B222F0">
        <w:t>…</w:t>
      </w:r>
      <w:r w:rsidR="00F11488">
        <w:t>2</w:t>
      </w:r>
      <w:r w:rsidR="00D306C6">
        <w:t>21</w:t>
      </w:r>
    </w:p>
    <w:p w14:paraId="1B3E6F81" w14:textId="63DF4676" w:rsidR="00CE01B8" w:rsidRDefault="00CE01B8">
      <w:pPr>
        <w:pStyle w:val="TDC1"/>
        <w:tabs>
          <w:tab w:val="right" w:leader="dot" w:pos="9394"/>
        </w:tabs>
      </w:pPr>
      <w:r>
        <w:t>AGRADECIMIENTO……………………………………………………………………………………………………………………………....</w:t>
      </w:r>
      <w:r w:rsidR="00F11488">
        <w:t>2</w:t>
      </w:r>
      <w:r w:rsidR="00D306C6">
        <w:t>25</w:t>
      </w:r>
    </w:p>
    <w:p w14:paraId="0D0EBBC1" w14:textId="0A3B2D1D" w:rsidR="00C2284B" w:rsidRDefault="00CE01B8">
      <w:pPr>
        <w:pStyle w:val="TDC1"/>
        <w:tabs>
          <w:tab w:val="right" w:leader="dot" w:pos="9394"/>
        </w:tabs>
        <w:rPr>
          <w:noProof/>
          <w:lang w:eastAsia="es-ES"/>
        </w:rPr>
      </w:pPr>
      <w:r>
        <w:t xml:space="preserve">    </w:t>
      </w:r>
    </w:p>
    <w:p w14:paraId="0945A30C" w14:textId="775CDEB8" w:rsidR="008032F5" w:rsidRPr="00247970" w:rsidRDefault="001A6332" w:rsidP="002A12BB">
      <w:pPr>
        <w:spacing w:line="360" w:lineRule="auto"/>
        <w:jc w:val="both"/>
        <w:rPr>
          <w:rFonts w:ascii="Arial" w:hAnsi="Arial" w:cs="Arial"/>
          <w:b/>
          <w:sz w:val="24"/>
          <w:szCs w:val="24"/>
          <w:lang w:val="es-ES"/>
        </w:rPr>
      </w:pPr>
      <w:r w:rsidRPr="00247970">
        <w:rPr>
          <w:rFonts w:ascii="Arial" w:hAnsi="Arial" w:cs="Arial"/>
          <w:b/>
          <w:sz w:val="24"/>
          <w:szCs w:val="24"/>
          <w:lang w:val="es-ES"/>
        </w:rPr>
        <w:fldChar w:fldCharType="end"/>
      </w:r>
    </w:p>
    <w:p w14:paraId="4F8CC539" w14:textId="77777777" w:rsidR="00D958F4" w:rsidRPr="00BB53C0" w:rsidRDefault="005B7EA2" w:rsidP="00D75EA6">
      <w:pPr>
        <w:pStyle w:val="Ttulo1"/>
        <w:jc w:val="center"/>
      </w:pPr>
      <w:bookmarkStart w:id="0" w:name="_Toc510690296"/>
      <w:r w:rsidRPr="00BB53C0">
        <w:lastRenderedPageBreak/>
        <w:t>PRESENTACIÓN</w:t>
      </w:r>
      <w:r w:rsidR="00E36306" w:rsidRPr="00BB53C0">
        <w:t>:</w:t>
      </w:r>
      <w:bookmarkEnd w:id="0"/>
    </w:p>
    <w:p w14:paraId="67B6D9A3" w14:textId="77777777" w:rsidR="00606D7A" w:rsidRDefault="00606D7A" w:rsidP="002F7058">
      <w:pPr>
        <w:spacing w:line="360" w:lineRule="auto"/>
        <w:ind w:firstLine="709"/>
        <w:jc w:val="both"/>
        <w:rPr>
          <w:rFonts w:ascii="Arial" w:hAnsi="Arial" w:cs="Arial"/>
          <w:sz w:val="24"/>
          <w:szCs w:val="24"/>
          <w:lang w:val="es-ES"/>
        </w:rPr>
      </w:pPr>
    </w:p>
    <w:p w14:paraId="6676E895" w14:textId="33EB5F61" w:rsidR="005B7EA2" w:rsidRPr="00BB53C0" w:rsidRDefault="008F265E" w:rsidP="002F7058">
      <w:pPr>
        <w:spacing w:line="360" w:lineRule="auto"/>
        <w:ind w:firstLine="709"/>
        <w:jc w:val="both"/>
        <w:rPr>
          <w:rFonts w:ascii="Arial" w:hAnsi="Arial" w:cs="Arial"/>
          <w:b/>
          <w:sz w:val="24"/>
          <w:szCs w:val="24"/>
          <w:u w:val="single"/>
          <w:lang w:val="es-ES"/>
        </w:rPr>
      </w:pPr>
      <w:r w:rsidRPr="00BB53C0">
        <w:rPr>
          <w:rFonts w:ascii="Arial" w:hAnsi="Arial" w:cs="Arial"/>
          <w:sz w:val="24"/>
          <w:szCs w:val="24"/>
          <w:lang w:val="es-ES"/>
        </w:rPr>
        <w:t xml:space="preserve">La Sala de Casación Penal, </w:t>
      </w:r>
      <w:r w:rsidR="00EB63DE" w:rsidRPr="00BB53C0">
        <w:rPr>
          <w:rFonts w:ascii="Arial" w:hAnsi="Arial" w:cs="Arial"/>
          <w:sz w:val="24"/>
          <w:szCs w:val="24"/>
          <w:lang w:val="es-ES"/>
        </w:rPr>
        <w:t xml:space="preserve">con fundamento en el artículo 11 de la Constitución Política y </w:t>
      </w:r>
      <w:r w:rsidRPr="00BB53C0">
        <w:rPr>
          <w:rFonts w:ascii="Arial" w:hAnsi="Arial" w:cs="Arial"/>
          <w:sz w:val="24"/>
          <w:szCs w:val="24"/>
          <w:lang w:val="es-ES"/>
        </w:rPr>
        <w:t>e</w:t>
      </w:r>
      <w:r w:rsidR="008032F5" w:rsidRPr="00BB53C0">
        <w:rPr>
          <w:rFonts w:ascii="Arial" w:hAnsi="Arial" w:cs="Arial"/>
          <w:sz w:val="24"/>
          <w:szCs w:val="24"/>
          <w:lang w:val="es-ES"/>
        </w:rPr>
        <w:t>n cumplimiento del deber constitucional y legal</w:t>
      </w:r>
      <w:r w:rsidR="00A30CC3" w:rsidRPr="00BB53C0">
        <w:rPr>
          <w:rFonts w:ascii="Arial" w:hAnsi="Arial" w:cs="Arial"/>
          <w:sz w:val="24"/>
          <w:szCs w:val="24"/>
          <w:lang w:val="es-ES"/>
        </w:rPr>
        <w:t xml:space="preserve">, </w:t>
      </w:r>
      <w:r w:rsidR="00A30CC3" w:rsidRPr="002763F0">
        <w:rPr>
          <w:rFonts w:ascii="Arial" w:hAnsi="Arial" w:cs="Arial"/>
          <w:sz w:val="24"/>
          <w:szCs w:val="24"/>
          <w:lang w:val="es-ES"/>
        </w:rPr>
        <w:t xml:space="preserve">presenta </w:t>
      </w:r>
      <w:r w:rsidR="008032F5" w:rsidRPr="002763F0">
        <w:rPr>
          <w:rFonts w:ascii="Arial" w:hAnsi="Arial" w:cs="Arial"/>
          <w:sz w:val="24"/>
          <w:szCs w:val="24"/>
          <w:lang w:val="es-ES"/>
        </w:rPr>
        <w:t>a</w:t>
      </w:r>
      <w:r w:rsidR="008032F5" w:rsidRPr="00BB53C0">
        <w:rPr>
          <w:rFonts w:ascii="Arial" w:hAnsi="Arial" w:cs="Arial"/>
          <w:sz w:val="24"/>
          <w:szCs w:val="24"/>
          <w:lang w:val="es-ES"/>
        </w:rPr>
        <w:t xml:space="preserve"> la</w:t>
      </w:r>
      <w:r w:rsidR="00F25413" w:rsidRPr="00BB53C0">
        <w:rPr>
          <w:rFonts w:ascii="Arial" w:hAnsi="Arial" w:cs="Arial"/>
          <w:sz w:val="24"/>
          <w:szCs w:val="24"/>
          <w:lang w:val="es-ES"/>
        </w:rPr>
        <w:t xml:space="preserve"> comunidad jurídica nacional y a la ciudadanía en general, </w:t>
      </w:r>
      <w:r w:rsidR="00EB63DE" w:rsidRPr="00BB53C0">
        <w:rPr>
          <w:rFonts w:ascii="Arial" w:hAnsi="Arial" w:cs="Arial"/>
          <w:sz w:val="24"/>
          <w:szCs w:val="24"/>
          <w:lang w:val="es-ES"/>
        </w:rPr>
        <w:t xml:space="preserve">el informe de </w:t>
      </w:r>
      <w:r w:rsidR="005B7EA2" w:rsidRPr="00BB53C0">
        <w:rPr>
          <w:rFonts w:ascii="Arial" w:hAnsi="Arial" w:cs="Arial"/>
          <w:sz w:val="24"/>
          <w:szCs w:val="24"/>
          <w:lang w:val="es-ES"/>
        </w:rPr>
        <w:t xml:space="preserve">los resultados más </w:t>
      </w:r>
      <w:r w:rsidR="00F22403" w:rsidRPr="00BB53C0">
        <w:rPr>
          <w:rFonts w:ascii="Arial" w:hAnsi="Arial" w:cs="Arial"/>
          <w:sz w:val="24"/>
          <w:szCs w:val="24"/>
          <w:lang w:val="es-ES"/>
        </w:rPr>
        <w:t xml:space="preserve">relevantes </w:t>
      </w:r>
      <w:r w:rsidR="005B7EA2" w:rsidRPr="00BB53C0">
        <w:rPr>
          <w:rFonts w:ascii="Arial" w:hAnsi="Arial" w:cs="Arial"/>
          <w:sz w:val="24"/>
          <w:szCs w:val="24"/>
          <w:lang w:val="es-ES"/>
        </w:rPr>
        <w:t>de la labor desempeñada por este Tribunal de la República</w:t>
      </w:r>
      <w:r w:rsidR="001A325A" w:rsidRPr="00BB53C0">
        <w:rPr>
          <w:rFonts w:ascii="Arial" w:hAnsi="Arial" w:cs="Arial"/>
          <w:sz w:val="24"/>
          <w:szCs w:val="24"/>
          <w:lang w:val="es-ES"/>
        </w:rPr>
        <w:t>,</w:t>
      </w:r>
      <w:r w:rsidRPr="00BB53C0">
        <w:rPr>
          <w:rFonts w:ascii="Arial" w:hAnsi="Arial" w:cs="Arial"/>
          <w:sz w:val="24"/>
          <w:szCs w:val="24"/>
          <w:lang w:val="es-ES"/>
        </w:rPr>
        <w:t xml:space="preserve"> </w:t>
      </w:r>
      <w:r w:rsidR="00EB63DE" w:rsidRPr="00BB53C0">
        <w:rPr>
          <w:rFonts w:ascii="Arial" w:hAnsi="Arial" w:cs="Arial"/>
          <w:sz w:val="24"/>
          <w:szCs w:val="24"/>
          <w:lang w:val="es-ES"/>
        </w:rPr>
        <w:t xml:space="preserve">durante </w:t>
      </w:r>
      <w:r w:rsidRPr="00BB53C0">
        <w:rPr>
          <w:rFonts w:ascii="Arial" w:hAnsi="Arial" w:cs="Arial"/>
          <w:sz w:val="24"/>
          <w:szCs w:val="24"/>
          <w:lang w:val="es-ES"/>
        </w:rPr>
        <w:t xml:space="preserve">el </w:t>
      </w:r>
      <w:r w:rsidR="00F25413" w:rsidRPr="00BB53C0">
        <w:rPr>
          <w:rFonts w:ascii="Arial" w:hAnsi="Arial" w:cs="Arial"/>
          <w:sz w:val="24"/>
          <w:szCs w:val="24"/>
          <w:lang w:val="es-ES"/>
        </w:rPr>
        <w:t>año</w:t>
      </w:r>
      <w:r w:rsidRPr="00BB53C0">
        <w:rPr>
          <w:rFonts w:ascii="Arial" w:hAnsi="Arial" w:cs="Arial"/>
          <w:sz w:val="24"/>
          <w:szCs w:val="24"/>
          <w:lang w:val="es-ES"/>
        </w:rPr>
        <w:t xml:space="preserve"> 20</w:t>
      </w:r>
      <w:r w:rsidR="00787F72" w:rsidRPr="00BB53C0">
        <w:rPr>
          <w:rFonts w:ascii="Arial" w:hAnsi="Arial" w:cs="Arial"/>
          <w:sz w:val="24"/>
          <w:szCs w:val="24"/>
          <w:lang w:val="es-ES"/>
        </w:rPr>
        <w:t>20</w:t>
      </w:r>
      <w:r w:rsidR="00EB63DE" w:rsidRPr="00BB53C0">
        <w:rPr>
          <w:rFonts w:ascii="Arial" w:hAnsi="Arial" w:cs="Arial"/>
          <w:sz w:val="24"/>
          <w:szCs w:val="24"/>
          <w:lang w:val="es-ES"/>
        </w:rPr>
        <w:t xml:space="preserve">. </w:t>
      </w:r>
      <w:r w:rsidR="00701C94" w:rsidRPr="00BB53C0">
        <w:rPr>
          <w:rFonts w:ascii="Arial" w:hAnsi="Arial" w:cs="Arial"/>
          <w:sz w:val="24"/>
          <w:szCs w:val="24"/>
          <w:lang w:val="es-ES"/>
        </w:rPr>
        <w:t>Así como de la Comisión de la Jurisdicción Penal, Sub</w:t>
      </w:r>
      <w:r w:rsidR="00503686" w:rsidRPr="00BB53C0">
        <w:rPr>
          <w:rFonts w:ascii="Arial" w:hAnsi="Arial" w:cs="Arial"/>
          <w:sz w:val="24"/>
          <w:szCs w:val="24"/>
          <w:lang w:val="es-ES"/>
        </w:rPr>
        <w:t xml:space="preserve"> </w:t>
      </w:r>
      <w:r w:rsidR="00701C94" w:rsidRPr="00BB53C0">
        <w:rPr>
          <w:rFonts w:ascii="Arial" w:hAnsi="Arial" w:cs="Arial"/>
          <w:sz w:val="24"/>
          <w:szCs w:val="24"/>
          <w:lang w:val="es-ES"/>
        </w:rPr>
        <w:t xml:space="preserve">Comisión de Penal Juvenil, </w:t>
      </w:r>
      <w:r w:rsidR="00B9118C" w:rsidRPr="00BB53C0">
        <w:rPr>
          <w:rFonts w:ascii="Arial" w:hAnsi="Arial" w:cs="Arial"/>
          <w:sz w:val="24"/>
          <w:szCs w:val="24"/>
          <w:lang w:val="es-ES"/>
        </w:rPr>
        <w:t>Dirección</w:t>
      </w:r>
      <w:r w:rsidR="00701C94" w:rsidRPr="00BB53C0">
        <w:rPr>
          <w:rFonts w:ascii="Arial" w:hAnsi="Arial" w:cs="Arial"/>
          <w:sz w:val="24"/>
          <w:szCs w:val="24"/>
          <w:lang w:val="es-ES"/>
        </w:rPr>
        <w:t xml:space="preserve"> de Justicia Restaurativa</w:t>
      </w:r>
      <w:r w:rsidR="003A04ED" w:rsidRPr="00BB53C0">
        <w:rPr>
          <w:rFonts w:ascii="Arial" w:hAnsi="Arial" w:cs="Arial"/>
          <w:sz w:val="24"/>
          <w:szCs w:val="24"/>
          <w:lang w:val="es-ES"/>
        </w:rPr>
        <w:t xml:space="preserve">, </w:t>
      </w:r>
      <w:r w:rsidR="00701C94" w:rsidRPr="00BB53C0">
        <w:rPr>
          <w:rFonts w:ascii="Arial" w:hAnsi="Arial" w:cs="Arial"/>
          <w:sz w:val="24"/>
          <w:szCs w:val="24"/>
          <w:lang w:val="es-ES"/>
        </w:rPr>
        <w:t xml:space="preserve">Comisión de Flagrancia, </w:t>
      </w:r>
      <w:r w:rsidR="003A04ED" w:rsidRPr="00BB53C0">
        <w:rPr>
          <w:rFonts w:ascii="Arial" w:hAnsi="Arial" w:cs="Arial"/>
          <w:sz w:val="24"/>
          <w:szCs w:val="24"/>
          <w:lang w:val="es-ES"/>
        </w:rPr>
        <w:t xml:space="preserve">Sub Comisión de Crimen Organizado, Sub Comisión de Trata de Personas, Comisión Enlace Corte O.I.J., Comisión de Gestión Ambiental Institucional, Comisión de Transparencia, Comisión de Nombramientos y Comisión Externa del Centro Judicial de Intervención de las Comunicaciones, </w:t>
      </w:r>
      <w:r w:rsidR="00701C94" w:rsidRPr="00BB53C0">
        <w:rPr>
          <w:rFonts w:ascii="Arial" w:hAnsi="Arial" w:cs="Arial"/>
          <w:sz w:val="24"/>
          <w:szCs w:val="24"/>
          <w:lang w:val="es-ES"/>
        </w:rPr>
        <w:t>adscritas a la Sala de Casación Penal.</w:t>
      </w:r>
    </w:p>
    <w:p w14:paraId="7AC583E7" w14:textId="06FBF91F" w:rsidR="005B7EA2" w:rsidRPr="00BB53C0" w:rsidRDefault="001F6555"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A</w:t>
      </w:r>
      <w:r w:rsidR="005B7EA2" w:rsidRPr="00BB53C0">
        <w:rPr>
          <w:rFonts w:ascii="Arial" w:hAnsi="Arial" w:cs="Arial"/>
          <w:sz w:val="24"/>
          <w:szCs w:val="24"/>
          <w:lang w:val="es-ES"/>
        </w:rPr>
        <w:t xml:space="preserve">l igual que </w:t>
      </w:r>
      <w:r w:rsidRPr="00BB53C0">
        <w:rPr>
          <w:rFonts w:ascii="Arial" w:hAnsi="Arial" w:cs="Arial"/>
          <w:sz w:val="24"/>
          <w:szCs w:val="24"/>
          <w:lang w:val="es-ES"/>
        </w:rPr>
        <w:t>años anteriores (</w:t>
      </w:r>
      <w:r w:rsidR="002F2927" w:rsidRPr="00BB53C0">
        <w:rPr>
          <w:rFonts w:ascii="Arial" w:hAnsi="Arial" w:cs="Arial"/>
          <w:sz w:val="24"/>
          <w:szCs w:val="24"/>
          <w:lang w:val="es-ES"/>
        </w:rPr>
        <w:t>201</w:t>
      </w:r>
      <w:r w:rsidR="002C091B" w:rsidRPr="00BB53C0">
        <w:rPr>
          <w:rFonts w:ascii="Arial" w:hAnsi="Arial" w:cs="Arial"/>
          <w:sz w:val="24"/>
          <w:szCs w:val="24"/>
          <w:lang w:val="es-ES"/>
        </w:rPr>
        <w:t>4</w:t>
      </w:r>
      <w:r w:rsidR="002F2927" w:rsidRPr="00BB53C0">
        <w:rPr>
          <w:rFonts w:ascii="Arial" w:hAnsi="Arial" w:cs="Arial"/>
          <w:sz w:val="24"/>
          <w:szCs w:val="24"/>
          <w:lang w:val="es-ES"/>
        </w:rPr>
        <w:t xml:space="preserve"> al 201</w:t>
      </w:r>
      <w:r w:rsidR="00787F72" w:rsidRPr="00BB53C0">
        <w:rPr>
          <w:rFonts w:ascii="Arial" w:hAnsi="Arial" w:cs="Arial"/>
          <w:sz w:val="24"/>
          <w:szCs w:val="24"/>
          <w:lang w:val="es-ES"/>
        </w:rPr>
        <w:t>9</w:t>
      </w:r>
      <w:r w:rsidRPr="00BB53C0">
        <w:rPr>
          <w:rFonts w:ascii="Arial" w:hAnsi="Arial" w:cs="Arial"/>
          <w:sz w:val="24"/>
          <w:szCs w:val="24"/>
          <w:lang w:val="es-ES"/>
        </w:rPr>
        <w:t>)</w:t>
      </w:r>
      <w:r w:rsidR="005B7EA2" w:rsidRPr="00BB53C0">
        <w:rPr>
          <w:rFonts w:ascii="Arial" w:hAnsi="Arial" w:cs="Arial"/>
          <w:sz w:val="24"/>
          <w:szCs w:val="24"/>
          <w:lang w:val="es-ES"/>
        </w:rPr>
        <w:t>, durante el 20</w:t>
      </w:r>
      <w:r w:rsidR="00787F72" w:rsidRPr="00BB53C0">
        <w:rPr>
          <w:rFonts w:ascii="Arial" w:hAnsi="Arial" w:cs="Arial"/>
          <w:sz w:val="24"/>
          <w:szCs w:val="24"/>
          <w:lang w:val="es-ES"/>
        </w:rPr>
        <w:t>20</w:t>
      </w:r>
      <w:r w:rsidR="005B7EA2" w:rsidRPr="00BB53C0">
        <w:rPr>
          <w:rFonts w:ascii="Arial" w:hAnsi="Arial" w:cs="Arial"/>
          <w:sz w:val="24"/>
          <w:szCs w:val="24"/>
          <w:lang w:val="es-ES"/>
        </w:rPr>
        <w:t xml:space="preserve"> se </w:t>
      </w:r>
      <w:r w:rsidRPr="00BB53C0">
        <w:rPr>
          <w:rFonts w:ascii="Arial" w:hAnsi="Arial" w:cs="Arial"/>
          <w:sz w:val="24"/>
          <w:szCs w:val="24"/>
          <w:lang w:val="es-ES"/>
        </w:rPr>
        <w:t xml:space="preserve">ha continuado </w:t>
      </w:r>
      <w:r w:rsidR="005B7EA2" w:rsidRPr="00BB53C0">
        <w:rPr>
          <w:rFonts w:ascii="Arial" w:hAnsi="Arial" w:cs="Arial"/>
          <w:sz w:val="24"/>
          <w:szCs w:val="24"/>
          <w:lang w:val="es-ES"/>
        </w:rPr>
        <w:t>consolidan</w:t>
      </w:r>
      <w:r w:rsidRPr="00BB53C0">
        <w:rPr>
          <w:rFonts w:ascii="Arial" w:hAnsi="Arial" w:cs="Arial"/>
          <w:sz w:val="24"/>
          <w:szCs w:val="24"/>
          <w:lang w:val="es-ES"/>
        </w:rPr>
        <w:t>do el marco j</w:t>
      </w:r>
      <w:r w:rsidR="005B7EA2" w:rsidRPr="00BB53C0">
        <w:rPr>
          <w:rFonts w:ascii="Arial" w:hAnsi="Arial" w:cs="Arial"/>
          <w:sz w:val="24"/>
          <w:szCs w:val="24"/>
          <w:lang w:val="es-ES"/>
        </w:rPr>
        <w:t>urisprudencia</w:t>
      </w:r>
      <w:r w:rsidRPr="00BB53C0">
        <w:rPr>
          <w:rFonts w:ascii="Arial" w:hAnsi="Arial" w:cs="Arial"/>
          <w:sz w:val="24"/>
          <w:szCs w:val="24"/>
          <w:lang w:val="es-ES"/>
        </w:rPr>
        <w:t>l</w:t>
      </w:r>
      <w:r w:rsidR="005B7EA2" w:rsidRPr="00BB53C0">
        <w:rPr>
          <w:rFonts w:ascii="Arial" w:hAnsi="Arial" w:cs="Arial"/>
          <w:sz w:val="24"/>
          <w:szCs w:val="24"/>
          <w:lang w:val="es-ES"/>
        </w:rPr>
        <w:t xml:space="preserve"> de conformidad con la normativa procesal</w:t>
      </w:r>
      <w:r w:rsidRPr="00BB53C0">
        <w:rPr>
          <w:rFonts w:ascii="Arial" w:hAnsi="Arial" w:cs="Arial"/>
          <w:sz w:val="24"/>
          <w:szCs w:val="24"/>
          <w:lang w:val="es-ES"/>
        </w:rPr>
        <w:t xml:space="preserve"> de impugnación</w:t>
      </w:r>
      <w:r w:rsidR="005B7EA2" w:rsidRPr="00BB53C0">
        <w:rPr>
          <w:rFonts w:ascii="Arial" w:hAnsi="Arial" w:cs="Arial"/>
          <w:sz w:val="24"/>
          <w:szCs w:val="24"/>
          <w:lang w:val="es-ES"/>
        </w:rPr>
        <w:t xml:space="preserve">, en </w:t>
      </w:r>
      <w:r w:rsidRPr="00BB53C0">
        <w:rPr>
          <w:rFonts w:ascii="Arial" w:hAnsi="Arial" w:cs="Arial"/>
          <w:sz w:val="24"/>
          <w:szCs w:val="24"/>
          <w:lang w:val="es-ES"/>
        </w:rPr>
        <w:t xml:space="preserve">lo relativo </w:t>
      </w:r>
      <w:r w:rsidR="0082425D" w:rsidRPr="00BB53C0">
        <w:rPr>
          <w:rFonts w:ascii="Arial" w:hAnsi="Arial" w:cs="Arial"/>
          <w:sz w:val="24"/>
          <w:szCs w:val="24"/>
          <w:lang w:val="es-ES"/>
        </w:rPr>
        <w:t xml:space="preserve">a </w:t>
      </w:r>
      <w:r w:rsidR="005B7EA2" w:rsidRPr="00BB53C0">
        <w:rPr>
          <w:rFonts w:ascii="Arial" w:hAnsi="Arial" w:cs="Arial"/>
          <w:sz w:val="24"/>
          <w:szCs w:val="24"/>
          <w:lang w:val="es-ES"/>
        </w:rPr>
        <w:t>los parámetros de admisibilidad</w:t>
      </w:r>
      <w:r w:rsidR="0082425D" w:rsidRPr="00BB53C0">
        <w:rPr>
          <w:rFonts w:ascii="Arial" w:hAnsi="Arial" w:cs="Arial"/>
          <w:sz w:val="24"/>
          <w:szCs w:val="24"/>
          <w:lang w:val="es-ES"/>
        </w:rPr>
        <w:t xml:space="preserve"> e </w:t>
      </w:r>
      <w:r w:rsidR="005B7EA2" w:rsidRPr="00BB53C0">
        <w:rPr>
          <w:rFonts w:ascii="Arial" w:hAnsi="Arial" w:cs="Arial"/>
          <w:sz w:val="24"/>
          <w:szCs w:val="24"/>
          <w:lang w:val="es-ES"/>
        </w:rPr>
        <w:t>inadmisibilidad,</w:t>
      </w:r>
      <w:r w:rsidR="00971A68" w:rsidRPr="00BB53C0">
        <w:rPr>
          <w:rFonts w:ascii="Arial" w:hAnsi="Arial" w:cs="Arial"/>
          <w:sz w:val="24"/>
          <w:szCs w:val="24"/>
          <w:lang w:val="es-ES"/>
        </w:rPr>
        <w:t xml:space="preserve"> precedentes contradictorios</w:t>
      </w:r>
      <w:r w:rsidR="005B7EA2" w:rsidRPr="00BB53C0">
        <w:rPr>
          <w:rFonts w:ascii="Arial" w:hAnsi="Arial" w:cs="Arial"/>
          <w:sz w:val="24"/>
          <w:szCs w:val="24"/>
          <w:lang w:val="es-ES"/>
        </w:rPr>
        <w:t xml:space="preserve"> </w:t>
      </w:r>
      <w:r w:rsidR="0082425D" w:rsidRPr="00BB53C0">
        <w:rPr>
          <w:rFonts w:ascii="Arial" w:hAnsi="Arial" w:cs="Arial"/>
          <w:sz w:val="24"/>
          <w:szCs w:val="24"/>
          <w:lang w:val="es-ES"/>
        </w:rPr>
        <w:t xml:space="preserve">y </w:t>
      </w:r>
      <w:r w:rsidR="005B7EA2" w:rsidRPr="00BB53C0">
        <w:rPr>
          <w:rFonts w:ascii="Arial" w:hAnsi="Arial" w:cs="Arial"/>
          <w:sz w:val="24"/>
          <w:szCs w:val="24"/>
          <w:lang w:val="es-ES"/>
        </w:rPr>
        <w:t xml:space="preserve">en </w:t>
      </w:r>
      <w:r w:rsidR="005C54FC" w:rsidRPr="00BB53C0">
        <w:rPr>
          <w:rFonts w:ascii="Arial" w:hAnsi="Arial" w:cs="Arial"/>
          <w:sz w:val="24"/>
          <w:szCs w:val="24"/>
          <w:lang w:val="es-ES"/>
        </w:rPr>
        <w:t xml:space="preserve">cuestiones </w:t>
      </w:r>
      <w:r w:rsidR="005B7EA2" w:rsidRPr="00BB53C0">
        <w:rPr>
          <w:rFonts w:ascii="Arial" w:hAnsi="Arial" w:cs="Arial"/>
          <w:sz w:val="24"/>
          <w:szCs w:val="24"/>
          <w:lang w:val="es-ES"/>
        </w:rPr>
        <w:t>de fondo.</w:t>
      </w:r>
      <w:r w:rsidRPr="00BB53C0">
        <w:rPr>
          <w:rFonts w:ascii="Arial" w:hAnsi="Arial" w:cs="Arial"/>
          <w:sz w:val="24"/>
          <w:szCs w:val="24"/>
          <w:lang w:val="es-ES"/>
        </w:rPr>
        <w:t xml:space="preserve"> </w:t>
      </w:r>
    </w:p>
    <w:p w14:paraId="066224B7" w14:textId="74ED2ACE" w:rsidR="00997BF2" w:rsidRPr="002763F0" w:rsidRDefault="00EB63DE"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 xml:space="preserve">Con respecto </w:t>
      </w:r>
      <w:r w:rsidR="005B7EA2" w:rsidRPr="00BB53C0">
        <w:rPr>
          <w:rFonts w:ascii="Arial" w:hAnsi="Arial" w:cs="Arial"/>
          <w:sz w:val="24"/>
          <w:szCs w:val="24"/>
          <w:lang w:val="es-ES"/>
        </w:rPr>
        <w:t xml:space="preserve">a la tarea fundamental que cumple </w:t>
      </w:r>
      <w:r w:rsidR="001F6555" w:rsidRPr="00BB53C0">
        <w:rPr>
          <w:rFonts w:ascii="Arial" w:hAnsi="Arial" w:cs="Arial"/>
          <w:sz w:val="24"/>
          <w:szCs w:val="24"/>
          <w:lang w:val="es-ES"/>
        </w:rPr>
        <w:t>l</w:t>
      </w:r>
      <w:r w:rsidR="005B7EA2" w:rsidRPr="00BB53C0">
        <w:rPr>
          <w:rFonts w:ascii="Arial" w:hAnsi="Arial" w:cs="Arial"/>
          <w:sz w:val="24"/>
          <w:szCs w:val="24"/>
          <w:lang w:val="es-ES"/>
        </w:rPr>
        <w:t xml:space="preserve">a Sala </w:t>
      </w:r>
      <w:r w:rsidR="001F6555" w:rsidRPr="00BB53C0">
        <w:rPr>
          <w:rFonts w:ascii="Arial" w:hAnsi="Arial" w:cs="Arial"/>
          <w:sz w:val="24"/>
          <w:szCs w:val="24"/>
          <w:lang w:val="es-ES"/>
        </w:rPr>
        <w:t xml:space="preserve">de Casación Penal, </w:t>
      </w:r>
      <w:r w:rsidR="005B7EA2" w:rsidRPr="00BB53C0">
        <w:rPr>
          <w:rFonts w:ascii="Arial" w:hAnsi="Arial" w:cs="Arial"/>
          <w:sz w:val="24"/>
          <w:szCs w:val="24"/>
          <w:lang w:val="es-ES"/>
        </w:rPr>
        <w:t>según sus competencias jurisdiccionales</w:t>
      </w:r>
      <w:r w:rsidR="00D52A97" w:rsidRPr="00BB53C0">
        <w:rPr>
          <w:rFonts w:ascii="Arial" w:hAnsi="Arial" w:cs="Arial"/>
          <w:sz w:val="24"/>
          <w:szCs w:val="24"/>
          <w:lang w:val="es-ES"/>
        </w:rPr>
        <w:t>,</w:t>
      </w:r>
      <w:r w:rsidR="005B7EA2" w:rsidRPr="00BB53C0">
        <w:rPr>
          <w:rFonts w:ascii="Arial" w:hAnsi="Arial" w:cs="Arial"/>
          <w:sz w:val="24"/>
          <w:szCs w:val="24"/>
          <w:lang w:val="es-ES"/>
        </w:rPr>
        <w:t xml:space="preserve"> debe señalarse en primer lugar que</w:t>
      </w:r>
      <w:r w:rsidR="00AC56FD" w:rsidRPr="00BB53C0">
        <w:rPr>
          <w:rFonts w:ascii="Arial" w:hAnsi="Arial" w:cs="Arial"/>
          <w:sz w:val="24"/>
          <w:szCs w:val="24"/>
          <w:lang w:val="es-ES"/>
        </w:rPr>
        <w:t>,</w:t>
      </w:r>
      <w:r w:rsidR="005B7EA2" w:rsidRPr="00BB53C0">
        <w:rPr>
          <w:rFonts w:ascii="Arial" w:hAnsi="Arial" w:cs="Arial"/>
          <w:sz w:val="24"/>
          <w:szCs w:val="24"/>
          <w:lang w:val="es-ES"/>
        </w:rPr>
        <w:t xml:space="preserve"> durante el 20</w:t>
      </w:r>
      <w:r w:rsidR="00787F72" w:rsidRPr="00BB53C0">
        <w:rPr>
          <w:rFonts w:ascii="Arial" w:hAnsi="Arial" w:cs="Arial"/>
          <w:sz w:val="24"/>
          <w:szCs w:val="24"/>
          <w:lang w:val="es-ES"/>
        </w:rPr>
        <w:t>20</w:t>
      </w:r>
      <w:r w:rsidR="001F6555" w:rsidRPr="00BB53C0">
        <w:rPr>
          <w:rFonts w:ascii="Arial" w:hAnsi="Arial" w:cs="Arial"/>
          <w:sz w:val="24"/>
          <w:szCs w:val="24"/>
          <w:lang w:val="es-ES"/>
        </w:rPr>
        <w:t>,</w:t>
      </w:r>
      <w:r w:rsidR="00960BE8" w:rsidRPr="00BB53C0">
        <w:rPr>
          <w:rFonts w:ascii="Arial" w:hAnsi="Arial" w:cs="Arial"/>
          <w:sz w:val="24"/>
          <w:szCs w:val="24"/>
          <w:lang w:val="es-ES"/>
        </w:rPr>
        <w:t xml:space="preserve"> </w:t>
      </w:r>
      <w:r w:rsidR="00787F72" w:rsidRPr="00BB53C0">
        <w:rPr>
          <w:rFonts w:ascii="Arial" w:hAnsi="Arial" w:cs="Arial"/>
          <w:sz w:val="24"/>
          <w:szCs w:val="24"/>
          <w:lang w:val="es-ES"/>
        </w:rPr>
        <w:t xml:space="preserve">hubo un pequeño </w:t>
      </w:r>
      <w:r w:rsidR="00DA671E" w:rsidRPr="00BB53C0">
        <w:rPr>
          <w:rFonts w:ascii="Arial" w:hAnsi="Arial" w:cs="Arial"/>
          <w:sz w:val="24"/>
          <w:szCs w:val="24"/>
          <w:lang w:val="es-ES"/>
        </w:rPr>
        <w:t>aumentó</w:t>
      </w:r>
      <w:r w:rsidR="00787F72" w:rsidRPr="00BB53C0">
        <w:rPr>
          <w:rFonts w:ascii="Arial" w:hAnsi="Arial" w:cs="Arial"/>
          <w:sz w:val="24"/>
          <w:szCs w:val="24"/>
          <w:lang w:val="es-ES"/>
        </w:rPr>
        <w:t xml:space="preserve"> en</w:t>
      </w:r>
      <w:r w:rsidR="00310A16" w:rsidRPr="00BB53C0">
        <w:rPr>
          <w:rFonts w:ascii="Arial" w:hAnsi="Arial" w:cs="Arial"/>
          <w:sz w:val="24"/>
          <w:szCs w:val="24"/>
          <w:lang w:val="es-ES"/>
        </w:rPr>
        <w:t xml:space="preserve"> </w:t>
      </w:r>
      <w:r w:rsidR="001F6555" w:rsidRPr="00BB53C0">
        <w:rPr>
          <w:rFonts w:ascii="Arial" w:hAnsi="Arial" w:cs="Arial"/>
          <w:sz w:val="24"/>
          <w:szCs w:val="24"/>
          <w:lang w:val="es-ES"/>
        </w:rPr>
        <w:t xml:space="preserve">el ingreso </w:t>
      </w:r>
      <w:r w:rsidR="001F6555" w:rsidRPr="00BB53C0">
        <w:rPr>
          <w:rFonts w:ascii="Arial" w:hAnsi="Arial" w:cs="Arial"/>
          <w:sz w:val="24"/>
          <w:szCs w:val="24"/>
        </w:rPr>
        <w:t xml:space="preserve">de </w:t>
      </w:r>
      <w:r w:rsidR="005C54FC" w:rsidRPr="00BB53C0">
        <w:rPr>
          <w:rFonts w:ascii="Arial" w:hAnsi="Arial" w:cs="Arial"/>
          <w:sz w:val="24"/>
          <w:szCs w:val="24"/>
          <w:lang w:val="es-ES"/>
        </w:rPr>
        <w:t>casos</w:t>
      </w:r>
      <w:r w:rsidR="00431788" w:rsidRPr="00BB53C0">
        <w:rPr>
          <w:rFonts w:ascii="Arial" w:hAnsi="Arial" w:cs="Arial"/>
          <w:sz w:val="24"/>
          <w:szCs w:val="24"/>
          <w:lang w:val="es-ES"/>
        </w:rPr>
        <w:t xml:space="preserve"> con respecto al año 201</w:t>
      </w:r>
      <w:r w:rsidR="00787F72" w:rsidRPr="00BB53C0">
        <w:rPr>
          <w:rFonts w:ascii="Arial" w:hAnsi="Arial" w:cs="Arial"/>
          <w:sz w:val="24"/>
          <w:szCs w:val="24"/>
          <w:lang w:val="es-ES"/>
        </w:rPr>
        <w:t>9</w:t>
      </w:r>
      <w:r w:rsidR="005C54FC" w:rsidRPr="00BB53C0">
        <w:rPr>
          <w:rFonts w:ascii="Arial" w:hAnsi="Arial" w:cs="Arial"/>
          <w:sz w:val="24"/>
          <w:szCs w:val="24"/>
          <w:lang w:val="es-ES"/>
        </w:rPr>
        <w:t xml:space="preserve">. </w:t>
      </w:r>
      <w:r w:rsidR="001F6555" w:rsidRPr="00BB53C0">
        <w:rPr>
          <w:rFonts w:ascii="Arial" w:hAnsi="Arial" w:cs="Arial"/>
          <w:sz w:val="24"/>
          <w:szCs w:val="24"/>
          <w:lang w:val="es-ES"/>
        </w:rPr>
        <w:t xml:space="preserve">A esta Sala </w:t>
      </w:r>
      <w:r w:rsidR="001F6555" w:rsidRPr="002763F0">
        <w:rPr>
          <w:rFonts w:ascii="Arial" w:hAnsi="Arial" w:cs="Arial"/>
          <w:sz w:val="24"/>
          <w:szCs w:val="24"/>
          <w:lang w:val="es-ES"/>
        </w:rPr>
        <w:t xml:space="preserve">entraron </w:t>
      </w:r>
      <w:r w:rsidR="00DA671E" w:rsidRPr="002763F0">
        <w:rPr>
          <w:rFonts w:ascii="Arial" w:hAnsi="Arial" w:cs="Arial"/>
          <w:sz w:val="24"/>
          <w:szCs w:val="24"/>
          <w:lang w:val="es-ES"/>
        </w:rPr>
        <w:t>12</w:t>
      </w:r>
      <w:r w:rsidR="00787F72" w:rsidRPr="002763F0">
        <w:rPr>
          <w:rFonts w:ascii="Arial" w:hAnsi="Arial" w:cs="Arial"/>
          <w:sz w:val="24"/>
          <w:szCs w:val="24"/>
          <w:lang w:val="es-ES"/>
        </w:rPr>
        <w:t>67</w:t>
      </w:r>
      <w:r w:rsidRPr="002763F0">
        <w:rPr>
          <w:rFonts w:ascii="Arial" w:hAnsi="Arial" w:cs="Arial"/>
          <w:sz w:val="24"/>
          <w:szCs w:val="24"/>
          <w:lang w:val="es-ES"/>
        </w:rPr>
        <w:t xml:space="preserve"> </w:t>
      </w:r>
      <w:r w:rsidR="00394E3A" w:rsidRPr="002763F0">
        <w:rPr>
          <w:rFonts w:ascii="Arial" w:hAnsi="Arial" w:cs="Arial"/>
          <w:sz w:val="24"/>
          <w:szCs w:val="24"/>
          <w:lang w:val="es-ES"/>
        </w:rPr>
        <w:t>asuntos</w:t>
      </w:r>
      <w:r w:rsidR="00BF2681" w:rsidRPr="002763F0">
        <w:rPr>
          <w:rFonts w:ascii="Arial" w:hAnsi="Arial" w:cs="Arial"/>
          <w:sz w:val="24"/>
          <w:szCs w:val="24"/>
          <w:lang w:val="es-ES"/>
        </w:rPr>
        <w:t xml:space="preserve"> (</w:t>
      </w:r>
      <w:r w:rsidR="001F6555" w:rsidRPr="002763F0">
        <w:rPr>
          <w:rFonts w:ascii="Arial" w:hAnsi="Arial" w:cs="Arial"/>
          <w:sz w:val="24"/>
          <w:szCs w:val="24"/>
          <w:lang w:val="es-ES"/>
        </w:rPr>
        <w:t xml:space="preserve">de ellos </w:t>
      </w:r>
      <w:r w:rsidR="00787F72" w:rsidRPr="002763F0">
        <w:rPr>
          <w:rFonts w:ascii="Arial" w:hAnsi="Arial" w:cs="Arial"/>
          <w:sz w:val="24"/>
          <w:szCs w:val="24"/>
          <w:lang w:val="es-ES"/>
        </w:rPr>
        <w:t>24</w:t>
      </w:r>
      <w:r w:rsidR="00BF2681" w:rsidRPr="002763F0">
        <w:rPr>
          <w:rFonts w:ascii="Arial" w:hAnsi="Arial" w:cs="Arial"/>
          <w:sz w:val="24"/>
          <w:szCs w:val="24"/>
          <w:lang w:val="es-ES"/>
        </w:rPr>
        <w:t xml:space="preserve"> asuntos reentrados)</w:t>
      </w:r>
      <w:r w:rsidR="00394E3A" w:rsidRPr="002763F0">
        <w:rPr>
          <w:rFonts w:ascii="Arial" w:hAnsi="Arial" w:cs="Arial"/>
          <w:sz w:val="24"/>
          <w:szCs w:val="24"/>
          <w:lang w:val="es-ES"/>
        </w:rPr>
        <w:t xml:space="preserve">, </w:t>
      </w:r>
      <w:r w:rsidR="00787F72" w:rsidRPr="002763F0">
        <w:rPr>
          <w:rFonts w:ascii="Arial" w:hAnsi="Arial" w:cs="Arial"/>
          <w:sz w:val="24"/>
          <w:szCs w:val="24"/>
          <w:lang w:val="es-ES"/>
        </w:rPr>
        <w:t>12</w:t>
      </w:r>
      <w:r w:rsidR="00394E3A" w:rsidRPr="002763F0">
        <w:rPr>
          <w:rFonts w:ascii="Arial" w:hAnsi="Arial" w:cs="Arial"/>
          <w:sz w:val="24"/>
          <w:szCs w:val="24"/>
          <w:lang w:val="es-ES"/>
        </w:rPr>
        <w:t xml:space="preserve"> </w:t>
      </w:r>
      <w:r w:rsidR="005C54FC" w:rsidRPr="002763F0">
        <w:rPr>
          <w:rFonts w:ascii="Arial" w:hAnsi="Arial" w:cs="Arial"/>
          <w:sz w:val="24"/>
          <w:szCs w:val="24"/>
          <w:lang w:val="es-ES"/>
        </w:rPr>
        <w:t>m</w:t>
      </w:r>
      <w:r w:rsidR="00DA671E" w:rsidRPr="002763F0">
        <w:rPr>
          <w:rFonts w:ascii="Arial" w:hAnsi="Arial" w:cs="Arial"/>
          <w:sz w:val="24"/>
          <w:szCs w:val="24"/>
          <w:lang w:val="es-ES"/>
        </w:rPr>
        <w:t>ás</w:t>
      </w:r>
      <w:r w:rsidR="005C54FC" w:rsidRPr="002763F0">
        <w:rPr>
          <w:rFonts w:ascii="Arial" w:hAnsi="Arial" w:cs="Arial"/>
          <w:sz w:val="24"/>
          <w:szCs w:val="24"/>
          <w:lang w:val="es-ES"/>
        </w:rPr>
        <w:t xml:space="preserve"> </w:t>
      </w:r>
      <w:r w:rsidR="005B7EA2" w:rsidRPr="002763F0">
        <w:rPr>
          <w:rFonts w:ascii="Arial" w:hAnsi="Arial" w:cs="Arial"/>
          <w:sz w:val="24"/>
          <w:szCs w:val="24"/>
          <w:lang w:val="es-ES"/>
        </w:rPr>
        <w:t xml:space="preserve">que </w:t>
      </w:r>
      <w:r w:rsidR="001F6555" w:rsidRPr="002763F0">
        <w:rPr>
          <w:rFonts w:ascii="Arial" w:hAnsi="Arial" w:cs="Arial"/>
          <w:sz w:val="24"/>
          <w:szCs w:val="24"/>
          <w:lang w:val="es-ES"/>
        </w:rPr>
        <w:t xml:space="preserve">durante </w:t>
      </w:r>
      <w:r w:rsidR="005B7EA2" w:rsidRPr="002763F0">
        <w:rPr>
          <w:rFonts w:ascii="Arial" w:hAnsi="Arial" w:cs="Arial"/>
          <w:sz w:val="24"/>
          <w:szCs w:val="24"/>
          <w:lang w:val="es-ES"/>
        </w:rPr>
        <w:t>el año 201</w:t>
      </w:r>
      <w:r w:rsidR="00787F72" w:rsidRPr="002763F0">
        <w:rPr>
          <w:rFonts w:ascii="Arial" w:hAnsi="Arial" w:cs="Arial"/>
          <w:sz w:val="24"/>
          <w:szCs w:val="24"/>
          <w:lang w:val="es-ES"/>
        </w:rPr>
        <w:t>9</w:t>
      </w:r>
      <w:r w:rsidR="00891411" w:rsidRPr="002763F0">
        <w:rPr>
          <w:rFonts w:ascii="Arial" w:hAnsi="Arial" w:cs="Arial"/>
          <w:sz w:val="24"/>
          <w:szCs w:val="24"/>
          <w:lang w:val="es-ES"/>
        </w:rPr>
        <w:t>. D</w:t>
      </w:r>
      <w:r w:rsidR="00F27847" w:rsidRPr="002763F0">
        <w:rPr>
          <w:rFonts w:ascii="Arial" w:hAnsi="Arial" w:cs="Arial"/>
          <w:sz w:val="24"/>
          <w:szCs w:val="24"/>
          <w:lang w:val="es-ES"/>
        </w:rPr>
        <w:t>e</w:t>
      </w:r>
      <w:r w:rsidR="00A30CC3" w:rsidRPr="002763F0">
        <w:rPr>
          <w:rFonts w:ascii="Arial" w:hAnsi="Arial" w:cs="Arial"/>
          <w:sz w:val="24"/>
          <w:szCs w:val="24"/>
          <w:lang w:val="es-ES"/>
        </w:rPr>
        <w:t xml:space="preserve">l total, </w:t>
      </w:r>
      <w:r w:rsidR="00787F72" w:rsidRPr="002763F0">
        <w:rPr>
          <w:rFonts w:ascii="Arial" w:hAnsi="Arial" w:cs="Arial"/>
          <w:sz w:val="24"/>
          <w:szCs w:val="24"/>
          <w:lang w:val="es-ES"/>
        </w:rPr>
        <w:t>73</w:t>
      </w:r>
      <w:r w:rsidR="00964CD9" w:rsidRPr="002763F0">
        <w:rPr>
          <w:rFonts w:ascii="Arial" w:hAnsi="Arial" w:cs="Arial"/>
          <w:sz w:val="24"/>
          <w:szCs w:val="24"/>
          <w:lang w:val="es-ES"/>
        </w:rPr>
        <w:t>6</w:t>
      </w:r>
      <w:r w:rsidR="00F27847" w:rsidRPr="002763F0">
        <w:rPr>
          <w:rFonts w:ascii="Arial" w:hAnsi="Arial" w:cs="Arial"/>
          <w:sz w:val="24"/>
          <w:szCs w:val="24"/>
          <w:lang w:val="es-ES"/>
        </w:rPr>
        <w:t xml:space="preserve"> </w:t>
      </w:r>
      <w:r w:rsidR="00EE4120" w:rsidRPr="002763F0">
        <w:rPr>
          <w:rFonts w:ascii="Arial" w:hAnsi="Arial" w:cs="Arial"/>
          <w:sz w:val="24"/>
          <w:szCs w:val="24"/>
          <w:lang w:val="es-ES"/>
        </w:rPr>
        <w:t>fueron</w:t>
      </w:r>
      <w:r w:rsidR="005B7EA2" w:rsidRPr="002763F0">
        <w:rPr>
          <w:rFonts w:ascii="Arial" w:hAnsi="Arial" w:cs="Arial"/>
          <w:sz w:val="24"/>
          <w:szCs w:val="24"/>
          <w:lang w:val="es-ES"/>
        </w:rPr>
        <w:t xml:space="preserve"> recursos de casación, </w:t>
      </w:r>
      <w:r w:rsidR="00787F72" w:rsidRPr="002763F0">
        <w:rPr>
          <w:rFonts w:ascii="Arial" w:hAnsi="Arial" w:cs="Arial"/>
          <w:sz w:val="24"/>
          <w:szCs w:val="24"/>
          <w:lang w:val="es-ES"/>
        </w:rPr>
        <w:t>2</w:t>
      </w:r>
      <w:r w:rsidR="00964CD9" w:rsidRPr="002763F0">
        <w:rPr>
          <w:rFonts w:ascii="Arial" w:hAnsi="Arial" w:cs="Arial"/>
          <w:sz w:val="24"/>
          <w:szCs w:val="24"/>
          <w:lang w:val="es-ES"/>
        </w:rPr>
        <w:t>5</w:t>
      </w:r>
      <w:r w:rsidR="00AA7651" w:rsidRPr="002763F0">
        <w:rPr>
          <w:rFonts w:ascii="Arial" w:hAnsi="Arial" w:cs="Arial"/>
          <w:sz w:val="24"/>
          <w:szCs w:val="24"/>
          <w:lang w:val="es-ES"/>
        </w:rPr>
        <w:t xml:space="preserve"> </w:t>
      </w:r>
      <w:r w:rsidR="00787F72" w:rsidRPr="002763F0">
        <w:rPr>
          <w:rFonts w:ascii="Arial" w:hAnsi="Arial" w:cs="Arial"/>
          <w:sz w:val="24"/>
          <w:szCs w:val="24"/>
          <w:lang w:val="es-ES"/>
        </w:rPr>
        <w:t xml:space="preserve">menos </w:t>
      </w:r>
      <w:r w:rsidR="005B7EA2" w:rsidRPr="002763F0">
        <w:rPr>
          <w:rFonts w:ascii="Arial" w:hAnsi="Arial" w:cs="Arial"/>
          <w:sz w:val="24"/>
          <w:szCs w:val="24"/>
          <w:lang w:val="es-ES"/>
        </w:rPr>
        <w:t xml:space="preserve">que en el </w:t>
      </w:r>
      <w:r w:rsidR="004D64B3" w:rsidRPr="002763F0">
        <w:rPr>
          <w:rFonts w:ascii="Arial" w:hAnsi="Arial" w:cs="Arial"/>
          <w:sz w:val="24"/>
          <w:szCs w:val="24"/>
          <w:lang w:val="es-ES"/>
        </w:rPr>
        <w:t>período</w:t>
      </w:r>
      <w:r w:rsidR="00997BF2" w:rsidRPr="002763F0">
        <w:rPr>
          <w:rFonts w:ascii="Arial" w:hAnsi="Arial" w:cs="Arial"/>
          <w:sz w:val="24"/>
          <w:szCs w:val="24"/>
          <w:lang w:val="es-ES"/>
        </w:rPr>
        <w:t xml:space="preserve"> anterior</w:t>
      </w:r>
      <w:r w:rsidR="005B7EA2" w:rsidRPr="002763F0">
        <w:rPr>
          <w:rFonts w:ascii="Arial" w:hAnsi="Arial" w:cs="Arial"/>
          <w:sz w:val="24"/>
          <w:szCs w:val="24"/>
          <w:lang w:val="es-ES"/>
        </w:rPr>
        <w:t xml:space="preserve">; </w:t>
      </w:r>
      <w:r w:rsidR="00787F72" w:rsidRPr="002763F0">
        <w:rPr>
          <w:rFonts w:ascii="Arial" w:hAnsi="Arial" w:cs="Arial"/>
          <w:sz w:val="24"/>
          <w:szCs w:val="24"/>
          <w:lang w:val="es-ES"/>
        </w:rPr>
        <w:t xml:space="preserve">294 </w:t>
      </w:r>
      <w:r w:rsidR="005B7EA2" w:rsidRPr="002763F0">
        <w:rPr>
          <w:rFonts w:ascii="Arial" w:hAnsi="Arial" w:cs="Arial"/>
          <w:sz w:val="24"/>
          <w:szCs w:val="24"/>
          <w:lang w:val="es-ES"/>
        </w:rPr>
        <w:t xml:space="preserve">procedimientos de revisión, </w:t>
      </w:r>
      <w:r w:rsidR="00787F72" w:rsidRPr="002763F0">
        <w:rPr>
          <w:rFonts w:ascii="Arial" w:hAnsi="Arial" w:cs="Arial"/>
          <w:sz w:val="24"/>
          <w:szCs w:val="24"/>
          <w:lang w:val="es-ES"/>
        </w:rPr>
        <w:t>68</w:t>
      </w:r>
      <w:r w:rsidR="005C54FC" w:rsidRPr="002763F0">
        <w:rPr>
          <w:rFonts w:ascii="Arial" w:hAnsi="Arial" w:cs="Arial"/>
          <w:sz w:val="24"/>
          <w:szCs w:val="24"/>
          <w:lang w:val="es-ES"/>
        </w:rPr>
        <w:t xml:space="preserve"> </w:t>
      </w:r>
      <w:r w:rsidR="00787F72" w:rsidRPr="002763F0">
        <w:rPr>
          <w:rFonts w:ascii="Arial" w:hAnsi="Arial" w:cs="Arial"/>
          <w:sz w:val="24"/>
          <w:szCs w:val="24"/>
          <w:lang w:val="es-ES"/>
        </w:rPr>
        <w:t>asuntos menos</w:t>
      </w:r>
      <w:r w:rsidR="005B7EA2" w:rsidRPr="002763F0">
        <w:rPr>
          <w:rFonts w:ascii="Arial" w:hAnsi="Arial" w:cs="Arial"/>
          <w:sz w:val="24"/>
          <w:szCs w:val="24"/>
          <w:lang w:val="es-ES"/>
        </w:rPr>
        <w:t xml:space="preserve"> que </w:t>
      </w:r>
      <w:r w:rsidR="00997BF2" w:rsidRPr="002763F0">
        <w:rPr>
          <w:rFonts w:ascii="Arial" w:hAnsi="Arial" w:cs="Arial"/>
          <w:sz w:val="24"/>
          <w:szCs w:val="24"/>
          <w:lang w:val="es-ES"/>
        </w:rPr>
        <w:t xml:space="preserve">durante </w:t>
      </w:r>
      <w:r w:rsidR="005B7EA2" w:rsidRPr="002763F0">
        <w:rPr>
          <w:rFonts w:ascii="Arial" w:hAnsi="Arial" w:cs="Arial"/>
          <w:sz w:val="24"/>
          <w:szCs w:val="24"/>
          <w:lang w:val="es-ES"/>
        </w:rPr>
        <w:t>el año 201</w:t>
      </w:r>
      <w:r w:rsidR="00787F72" w:rsidRPr="002763F0">
        <w:rPr>
          <w:rFonts w:ascii="Arial" w:hAnsi="Arial" w:cs="Arial"/>
          <w:sz w:val="24"/>
          <w:szCs w:val="24"/>
          <w:lang w:val="es-ES"/>
        </w:rPr>
        <w:t>9</w:t>
      </w:r>
      <w:r w:rsidR="005C54FC" w:rsidRPr="002763F0">
        <w:rPr>
          <w:rFonts w:ascii="Arial" w:hAnsi="Arial" w:cs="Arial"/>
          <w:sz w:val="24"/>
          <w:szCs w:val="24"/>
          <w:lang w:val="es-ES"/>
        </w:rPr>
        <w:t>;</w:t>
      </w:r>
      <w:r w:rsidR="005B7EA2" w:rsidRPr="002763F0">
        <w:rPr>
          <w:rFonts w:ascii="Arial" w:hAnsi="Arial" w:cs="Arial"/>
          <w:sz w:val="24"/>
          <w:szCs w:val="24"/>
          <w:lang w:val="es-ES"/>
        </w:rPr>
        <w:t xml:space="preserve"> </w:t>
      </w:r>
      <w:r w:rsidR="00431788" w:rsidRPr="002763F0">
        <w:rPr>
          <w:rFonts w:ascii="Arial" w:hAnsi="Arial" w:cs="Arial"/>
          <w:sz w:val="24"/>
          <w:szCs w:val="24"/>
          <w:lang w:val="es-ES"/>
        </w:rPr>
        <w:t>5</w:t>
      </w:r>
      <w:r w:rsidR="00964CD9" w:rsidRPr="002763F0">
        <w:rPr>
          <w:rFonts w:ascii="Arial" w:hAnsi="Arial" w:cs="Arial"/>
          <w:sz w:val="24"/>
          <w:szCs w:val="24"/>
          <w:lang w:val="es-ES"/>
        </w:rPr>
        <w:t>2</w:t>
      </w:r>
      <w:r w:rsidR="00891411" w:rsidRPr="002763F0">
        <w:rPr>
          <w:rFonts w:ascii="Arial" w:hAnsi="Arial" w:cs="Arial"/>
          <w:sz w:val="24"/>
          <w:szCs w:val="24"/>
          <w:lang w:val="es-ES"/>
        </w:rPr>
        <w:t xml:space="preserve"> </w:t>
      </w:r>
      <w:r w:rsidR="005B7EA2" w:rsidRPr="002763F0">
        <w:rPr>
          <w:rFonts w:ascii="Arial" w:hAnsi="Arial" w:cs="Arial"/>
          <w:sz w:val="24"/>
          <w:szCs w:val="24"/>
          <w:lang w:val="es-ES"/>
        </w:rPr>
        <w:t>proc</w:t>
      </w:r>
      <w:r w:rsidR="00997BF2" w:rsidRPr="002763F0">
        <w:rPr>
          <w:rFonts w:ascii="Arial" w:hAnsi="Arial" w:cs="Arial"/>
          <w:sz w:val="24"/>
          <w:szCs w:val="24"/>
          <w:lang w:val="es-ES"/>
        </w:rPr>
        <w:t>edimientos</w:t>
      </w:r>
      <w:r w:rsidR="005B7EA2" w:rsidRPr="002763F0">
        <w:rPr>
          <w:rFonts w:ascii="Arial" w:hAnsi="Arial" w:cs="Arial"/>
          <w:sz w:val="24"/>
          <w:szCs w:val="24"/>
          <w:lang w:val="es-ES"/>
        </w:rPr>
        <w:t xml:space="preserve"> contra miembros de los </w:t>
      </w:r>
      <w:r w:rsidR="00997BF2" w:rsidRPr="002763F0">
        <w:rPr>
          <w:rFonts w:ascii="Arial" w:hAnsi="Arial" w:cs="Arial"/>
          <w:sz w:val="24"/>
          <w:szCs w:val="24"/>
          <w:lang w:val="es-ES"/>
        </w:rPr>
        <w:t>S</w:t>
      </w:r>
      <w:r w:rsidR="005B7EA2" w:rsidRPr="002763F0">
        <w:rPr>
          <w:rFonts w:ascii="Arial" w:hAnsi="Arial" w:cs="Arial"/>
          <w:sz w:val="24"/>
          <w:szCs w:val="24"/>
          <w:lang w:val="es-ES"/>
        </w:rPr>
        <w:t xml:space="preserve">upremos </w:t>
      </w:r>
      <w:r w:rsidR="00997BF2" w:rsidRPr="002763F0">
        <w:rPr>
          <w:rFonts w:ascii="Arial" w:hAnsi="Arial" w:cs="Arial"/>
          <w:sz w:val="24"/>
          <w:szCs w:val="24"/>
          <w:lang w:val="es-ES"/>
        </w:rPr>
        <w:t>P</w:t>
      </w:r>
      <w:r w:rsidR="005B7EA2" w:rsidRPr="002763F0">
        <w:rPr>
          <w:rFonts w:ascii="Arial" w:hAnsi="Arial" w:cs="Arial"/>
          <w:sz w:val="24"/>
          <w:szCs w:val="24"/>
          <w:lang w:val="es-ES"/>
        </w:rPr>
        <w:t>oderes</w:t>
      </w:r>
      <w:r w:rsidR="001E7556" w:rsidRPr="002763F0">
        <w:rPr>
          <w:rFonts w:ascii="Arial" w:hAnsi="Arial" w:cs="Arial"/>
          <w:sz w:val="24"/>
          <w:szCs w:val="24"/>
          <w:lang w:val="es-ES"/>
        </w:rPr>
        <w:t xml:space="preserve">, </w:t>
      </w:r>
      <w:r w:rsidR="00964CD9" w:rsidRPr="002763F0">
        <w:rPr>
          <w:rFonts w:ascii="Arial" w:hAnsi="Arial" w:cs="Arial"/>
          <w:sz w:val="24"/>
          <w:szCs w:val="24"/>
          <w:lang w:val="es-ES"/>
        </w:rPr>
        <w:t>1</w:t>
      </w:r>
      <w:r w:rsidR="001E7556" w:rsidRPr="002763F0">
        <w:rPr>
          <w:rFonts w:ascii="Arial" w:hAnsi="Arial" w:cs="Arial"/>
          <w:sz w:val="24"/>
          <w:szCs w:val="24"/>
          <w:lang w:val="es-ES"/>
        </w:rPr>
        <w:t xml:space="preserve"> asunto m</w:t>
      </w:r>
      <w:r w:rsidR="00DA671E" w:rsidRPr="002763F0">
        <w:rPr>
          <w:rFonts w:ascii="Arial" w:hAnsi="Arial" w:cs="Arial"/>
          <w:sz w:val="24"/>
          <w:szCs w:val="24"/>
          <w:lang w:val="es-ES"/>
        </w:rPr>
        <w:t>enos</w:t>
      </w:r>
      <w:r w:rsidR="001E7556" w:rsidRPr="002763F0">
        <w:rPr>
          <w:rFonts w:ascii="Arial" w:hAnsi="Arial" w:cs="Arial"/>
          <w:sz w:val="24"/>
          <w:szCs w:val="24"/>
          <w:lang w:val="es-ES"/>
        </w:rPr>
        <w:t xml:space="preserve"> </w:t>
      </w:r>
      <w:r w:rsidR="00BE7C3E" w:rsidRPr="002763F0">
        <w:rPr>
          <w:rFonts w:ascii="Arial" w:hAnsi="Arial" w:cs="Arial"/>
          <w:sz w:val="24"/>
          <w:szCs w:val="24"/>
          <w:lang w:val="es-ES"/>
        </w:rPr>
        <w:t xml:space="preserve">que </w:t>
      </w:r>
      <w:r w:rsidR="00997BF2" w:rsidRPr="002763F0">
        <w:rPr>
          <w:rFonts w:ascii="Arial" w:hAnsi="Arial" w:cs="Arial"/>
          <w:sz w:val="24"/>
          <w:szCs w:val="24"/>
          <w:lang w:val="es-ES"/>
        </w:rPr>
        <w:t xml:space="preserve">en el </w:t>
      </w:r>
      <w:r w:rsidR="00BE7C3E" w:rsidRPr="002763F0">
        <w:rPr>
          <w:rFonts w:ascii="Arial" w:hAnsi="Arial" w:cs="Arial"/>
          <w:sz w:val="24"/>
          <w:szCs w:val="24"/>
          <w:lang w:val="es-ES"/>
        </w:rPr>
        <w:t>201</w:t>
      </w:r>
      <w:r w:rsidR="00964CD9" w:rsidRPr="002763F0">
        <w:rPr>
          <w:rFonts w:ascii="Arial" w:hAnsi="Arial" w:cs="Arial"/>
          <w:sz w:val="24"/>
          <w:szCs w:val="24"/>
          <w:lang w:val="es-ES"/>
        </w:rPr>
        <w:t>9</w:t>
      </w:r>
      <w:r w:rsidR="001E7556" w:rsidRPr="002763F0">
        <w:rPr>
          <w:rFonts w:ascii="Arial" w:hAnsi="Arial" w:cs="Arial"/>
          <w:sz w:val="24"/>
          <w:szCs w:val="24"/>
          <w:lang w:val="es-ES"/>
        </w:rPr>
        <w:t xml:space="preserve">; </w:t>
      </w:r>
      <w:r w:rsidR="00A013C2" w:rsidRPr="002763F0">
        <w:rPr>
          <w:rFonts w:ascii="Arial" w:hAnsi="Arial" w:cs="Arial"/>
          <w:sz w:val="24"/>
          <w:szCs w:val="24"/>
          <w:lang w:val="es-ES"/>
        </w:rPr>
        <w:t xml:space="preserve">y </w:t>
      </w:r>
      <w:r w:rsidR="00964CD9" w:rsidRPr="002763F0">
        <w:rPr>
          <w:rFonts w:ascii="Arial" w:hAnsi="Arial" w:cs="Arial"/>
          <w:sz w:val="24"/>
          <w:szCs w:val="24"/>
          <w:lang w:val="es-ES"/>
        </w:rPr>
        <w:t>161</w:t>
      </w:r>
      <w:r w:rsidR="001E7556" w:rsidRPr="002763F0">
        <w:rPr>
          <w:rFonts w:ascii="Arial" w:hAnsi="Arial" w:cs="Arial"/>
          <w:sz w:val="24"/>
          <w:szCs w:val="24"/>
          <w:lang w:val="es-ES"/>
        </w:rPr>
        <w:t xml:space="preserve"> conflictos de competencia</w:t>
      </w:r>
      <w:r w:rsidR="00A013C2" w:rsidRPr="002763F0">
        <w:rPr>
          <w:rFonts w:ascii="Arial" w:hAnsi="Arial" w:cs="Arial"/>
          <w:sz w:val="24"/>
          <w:szCs w:val="24"/>
          <w:lang w:val="es-ES"/>
        </w:rPr>
        <w:t xml:space="preserve"> y solicitudes de informe</w:t>
      </w:r>
      <w:r w:rsidR="003832E1" w:rsidRPr="002763F0">
        <w:rPr>
          <w:rFonts w:ascii="Arial" w:hAnsi="Arial" w:cs="Arial"/>
          <w:sz w:val="24"/>
          <w:szCs w:val="24"/>
          <w:lang w:val="es-ES"/>
        </w:rPr>
        <w:t xml:space="preserve">, </w:t>
      </w:r>
      <w:r w:rsidR="00964CD9" w:rsidRPr="002763F0">
        <w:rPr>
          <w:rFonts w:ascii="Arial" w:hAnsi="Arial" w:cs="Arial"/>
          <w:sz w:val="24"/>
          <w:szCs w:val="24"/>
          <w:lang w:val="es-ES"/>
        </w:rPr>
        <w:t>82</w:t>
      </w:r>
      <w:r w:rsidR="003832E1" w:rsidRPr="002763F0">
        <w:rPr>
          <w:rFonts w:ascii="Arial" w:hAnsi="Arial" w:cs="Arial"/>
          <w:sz w:val="24"/>
          <w:szCs w:val="24"/>
          <w:lang w:val="es-ES"/>
        </w:rPr>
        <w:t xml:space="preserve"> asunto</w:t>
      </w:r>
      <w:r w:rsidR="00541D30" w:rsidRPr="002763F0">
        <w:rPr>
          <w:rFonts w:ascii="Arial" w:hAnsi="Arial" w:cs="Arial"/>
          <w:sz w:val="24"/>
          <w:szCs w:val="24"/>
          <w:lang w:val="es-ES"/>
        </w:rPr>
        <w:t>s</w:t>
      </w:r>
      <w:r w:rsidR="003832E1" w:rsidRPr="002763F0">
        <w:rPr>
          <w:rFonts w:ascii="Arial" w:hAnsi="Arial" w:cs="Arial"/>
          <w:sz w:val="24"/>
          <w:szCs w:val="24"/>
          <w:lang w:val="es-ES"/>
        </w:rPr>
        <w:t xml:space="preserve"> m</w:t>
      </w:r>
      <w:r w:rsidR="00A013C2" w:rsidRPr="002763F0">
        <w:rPr>
          <w:rFonts w:ascii="Arial" w:hAnsi="Arial" w:cs="Arial"/>
          <w:sz w:val="24"/>
          <w:szCs w:val="24"/>
          <w:lang w:val="es-ES"/>
        </w:rPr>
        <w:t>ás</w:t>
      </w:r>
      <w:r w:rsidR="003832E1" w:rsidRPr="002763F0">
        <w:rPr>
          <w:rFonts w:ascii="Arial" w:hAnsi="Arial" w:cs="Arial"/>
          <w:sz w:val="24"/>
          <w:szCs w:val="24"/>
          <w:lang w:val="es-ES"/>
        </w:rPr>
        <w:t xml:space="preserve"> que en el </w:t>
      </w:r>
      <w:r w:rsidR="00137A6A" w:rsidRPr="002763F0">
        <w:rPr>
          <w:rFonts w:ascii="Arial" w:hAnsi="Arial" w:cs="Arial"/>
          <w:sz w:val="24"/>
          <w:szCs w:val="24"/>
          <w:lang w:val="es-ES"/>
        </w:rPr>
        <w:t>anterior período</w:t>
      </w:r>
      <w:r w:rsidR="00891411" w:rsidRPr="002763F0">
        <w:rPr>
          <w:rFonts w:ascii="Arial" w:hAnsi="Arial" w:cs="Arial"/>
          <w:sz w:val="24"/>
          <w:szCs w:val="24"/>
          <w:lang w:val="es-ES"/>
        </w:rPr>
        <w:t>.</w:t>
      </w:r>
      <w:r w:rsidR="005B7EA2" w:rsidRPr="002763F0">
        <w:rPr>
          <w:rFonts w:ascii="Arial" w:hAnsi="Arial" w:cs="Arial"/>
          <w:sz w:val="24"/>
          <w:szCs w:val="24"/>
          <w:lang w:val="es-ES"/>
        </w:rPr>
        <w:t xml:space="preserve"> </w:t>
      </w:r>
      <w:r w:rsidR="00997BF2" w:rsidRPr="002763F0">
        <w:rPr>
          <w:rFonts w:ascii="Arial" w:hAnsi="Arial" w:cs="Arial"/>
          <w:sz w:val="24"/>
          <w:szCs w:val="24"/>
          <w:lang w:val="es-ES"/>
        </w:rPr>
        <w:t xml:space="preserve"> </w:t>
      </w:r>
    </w:p>
    <w:p w14:paraId="7E273441" w14:textId="0DD057AF" w:rsidR="0057695E" w:rsidRPr="002763F0" w:rsidRDefault="00BF2681" w:rsidP="002F7058">
      <w:pPr>
        <w:spacing w:line="360" w:lineRule="auto"/>
        <w:ind w:firstLine="708"/>
        <w:jc w:val="both"/>
        <w:rPr>
          <w:rFonts w:ascii="Arial" w:hAnsi="Arial" w:cs="Arial"/>
          <w:sz w:val="24"/>
          <w:szCs w:val="24"/>
          <w:lang w:val="es-ES"/>
        </w:rPr>
      </w:pPr>
      <w:r w:rsidRPr="002763F0">
        <w:rPr>
          <w:rFonts w:ascii="Arial" w:hAnsi="Arial" w:cs="Arial"/>
          <w:sz w:val="24"/>
          <w:szCs w:val="24"/>
          <w:lang w:val="es-ES"/>
        </w:rPr>
        <w:t>Con estos datos, e</w:t>
      </w:r>
      <w:r w:rsidR="005B7EA2" w:rsidRPr="002763F0">
        <w:rPr>
          <w:rFonts w:ascii="Arial" w:hAnsi="Arial" w:cs="Arial"/>
          <w:sz w:val="24"/>
          <w:szCs w:val="24"/>
          <w:lang w:val="es-ES"/>
        </w:rPr>
        <w:t xml:space="preserve">l balance general anual muestra una </w:t>
      </w:r>
      <w:r w:rsidR="00104A23" w:rsidRPr="002763F0">
        <w:rPr>
          <w:rFonts w:ascii="Arial" w:hAnsi="Arial" w:cs="Arial"/>
          <w:sz w:val="24"/>
          <w:szCs w:val="24"/>
          <w:lang w:val="es-ES"/>
        </w:rPr>
        <w:t xml:space="preserve">diferencia </w:t>
      </w:r>
      <w:r w:rsidR="00A32C40" w:rsidRPr="002763F0">
        <w:rPr>
          <w:rFonts w:ascii="Arial" w:hAnsi="Arial" w:cs="Arial"/>
          <w:sz w:val="24"/>
          <w:szCs w:val="24"/>
          <w:lang w:val="es-ES"/>
        </w:rPr>
        <w:t>favorable</w:t>
      </w:r>
      <w:r w:rsidR="001A3C91" w:rsidRPr="002763F0">
        <w:rPr>
          <w:rFonts w:ascii="Arial" w:hAnsi="Arial" w:cs="Arial"/>
          <w:sz w:val="24"/>
          <w:szCs w:val="24"/>
          <w:lang w:val="es-ES"/>
        </w:rPr>
        <w:t xml:space="preserve"> entre los casos entrados </w:t>
      </w:r>
      <w:r w:rsidR="001A3C91" w:rsidRPr="002763F0">
        <w:rPr>
          <w:rFonts w:ascii="Arial" w:hAnsi="Arial" w:cs="Arial"/>
          <w:i/>
          <w:iCs/>
          <w:sz w:val="24"/>
          <w:szCs w:val="24"/>
          <w:lang w:val="es-ES"/>
        </w:rPr>
        <w:t>versus</w:t>
      </w:r>
      <w:r w:rsidR="001A3C91" w:rsidRPr="002763F0">
        <w:rPr>
          <w:rFonts w:ascii="Arial" w:hAnsi="Arial" w:cs="Arial"/>
          <w:sz w:val="24"/>
          <w:szCs w:val="24"/>
          <w:lang w:val="es-ES"/>
        </w:rPr>
        <w:t xml:space="preserve"> casos salidos, ya que se resolvieron</w:t>
      </w:r>
      <w:r w:rsidR="00104A23" w:rsidRPr="002763F0">
        <w:rPr>
          <w:rFonts w:ascii="Arial" w:hAnsi="Arial" w:cs="Arial"/>
          <w:sz w:val="24"/>
          <w:szCs w:val="24"/>
          <w:lang w:val="es-ES"/>
        </w:rPr>
        <w:t xml:space="preserve"> </w:t>
      </w:r>
      <w:r w:rsidR="006A7B1C" w:rsidRPr="002763F0">
        <w:rPr>
          <w:rFonts w:ascii="Arial" w:hAnsi="Arial" w:cs="Arial"/>
          <w:sz w:val="24"/>
          <w:szCs w:val="24"/>
          <w:lang w:val="es-ES"/>
        </w:rPr>
        <w:t>1</w:t>
      </w:r>
      <w:r w:rsidR="00964CD9" w:rsidRPr="002763F0">
        <w:rPr>
          <w:rFonts w:ascii="Arial" w:hAnsi="Arial" w:cs="Arial"/>
          <w:sz w:val="24"/>
          <w:szCs w:val="24"/>
          <w:lang w:val="es-ES"/>
        </w:rPr>
        <w:t>413</w:t>
      </w:r>
      <w:r w:rsidR="001A3C91" w:rsidRPr="002763F0">
        <w:rPr>
          <w:rFonts w:ascii="Arial" w:hAnsi="Arial" w:cs="Arial"/>
          <w:sz w:val="24"/>
          <w:szCs w:val="24"/>
          <w:lang w:val="es-ES"/>
        </w:rPr>
        <w:t xml:space="preserve"> </w:t>
      </w:r>
      <w:r w:rsidR="00104A23" w:rsidRPr="002763F0">
        <w:rPr>
          <w:rFonts w:ascii="Arial" w:hAnsi="Arial" w:cs="Arial"/>
          <w:sz w:val="24"/>
          <w:szCs w:val="24"/>
          <w:lang w:val="es-ES"/>
        </w:rPr>
        <w:t>asunto</w:t>
      </w:r>
      <w:r w:rsidR="00541D30" w:rsidRPr="002763F0">
        <w:rPr>
          <w:rFonts w:ascii="Arial" w:hAnsi="Arial" w:cs="Arial"/>
          <w:sz w:val="24"/>
          <w:szCs w:val="24"/>
          <w:lang w:val="es-ES"/>
        </w:rPr>
        <w:t>s</w:t>
      </w:r>
      <w:r w:rsidR="001A3C91" w:rsidRPr="002763F0">
        <w:rPr>
          <w:rFonts w:ascii="Arial" w:hAnsi="Arial" w:cs="Arial"/>
          <w:sz w:val="24"/>
          <w:szCs w:val="24"/>
          <w:lang w:val="es-ES"/>
        </w:rPr>
        <w:t xml:space="preserve"> e ingresaron</w:t>
      </w:r>
      <w:r w:rsidR="00A32C40" w:rsidRPr="002763F0">
        <w:rPr>
          <w:rFonts w:ascii="Arial" w:hAnsi="Arial" w:cs="Arial"/>
          <w:sz w:val="24"/>
          <w:szCs w:val="24"/>
          <w:lang w:val="es-ES"/>
        </w:rPr>
        <w:t xml:space="preserve"> </w:t>
      </w:r>
      <w:r w:rsidR="006A7B1C" w:rsidRPr="002763F0">
        <w:rPr>
          <w:rFonts w:ascii="Arial" w:hAnsi="Arial" w:cs="Arial"/>
          <w:sz w:val="24"/>
          <w:szCs w:val="24"/>
          <w:lang w:val="es-ES"/>
        </w:rPr>
        <w:t>12</w:t>
      </w:r>
      <w:r w:rsidR="00964CD9" w:rsidRPr="002763F0">
        <w:rPr>
          <w:rFonts w:ascii="Arial" w:hAnsi="Arial" w:cs="Arial"/>
          <w:sz w:val="24"/>
          <w:szCs w:val="24"/>
          <w:lang w:val="es-ES"/>
        </w:rPr>
        <w:t xml:space="preserve">67 </w:t>
      </w:r>
      <w:r w:rsidR="001A3C91" w:rsidRPr="002763F0">
        <w:rPr>
          <w:rFonts w:ascii="Arial" w:hAnsi="Arial" w:cs="Arial"/>
          <w:sz w:val="24"/>
          <w:szCs w:val="24"/>
          <w:lang w:val="es-ES"/>
        </w:rPr>
        <w:t>casos</w:t>
      </w:r>
      <w:r w:rsidR="00A32C40" w:rsidRPr="002763F0">
        <w:rPr>
          <w:rFonts w:ascii="Arial" w:hAnsi="Arial" w:cs="Arial"/>
          <w:sz w:val="24"/>
          <w:szCs w:val="24"/>
          <w:lang w:val="es-ES"/>
        </w:rPr>
        <w:t>,</w:t>
      </w:r>
      <w:r w:rsidR="001A3C91" w:rsidRPr="002763F0">
        <w:rPr>
          <w:rFonts w:ascii="Arial" w:hAnsi="Arial" w:cs="Arial"/>
          <w:sz w:val="24"/>
          <w:szCs w:val="24"/>
          <w:lang w:val="es-ES"/>
        </w:rPr>
        <w:t xml:space="preserve"> </w:t>
      </w:r>
      <w:r w:rsidR="00330BBD" w:rsidRPr="002763F0">
        <w:rPr>
          <w:rFonts w:ascii="Arial" w:hAnsi="Arial" w:cs="Arial"/>
          <w:sz w:val="24"/>
          <w:szCs w:val="24"/>
          <w:lang w:val="es-ES"/>
        </w:rPr>
        <w:t>es decir</w:t>
      </w:r>
      <w:r w:rsidR="001A3C91" w:rsidRPr="002763F0">
        <w:rPr>
          <w:rFonts w:ascii="Arial" w:hAnsi="Arial" w:cs="Arial"/>
          <w:sz w:val="24"/>
          <w:szCs w:val="24"/>
          <w:lang w:val="es-ES"/>
        </w:rPr>
        <w:t xml:space="preserve"> </w:t>
      </w:r>
      <w:r w:rsidR="00964CD9" w:rsidRPr="002763F0">
        <w:rPr>
          <w:rFonts w:ascii="Arial" w:hAnsi="Arial" w:cs="Arial"/>
          <w:sz w:val="24"/>
          <w:szCs w:val="24"/>
          <w:lang w:val="es-ES"/>
        </w:rPr>
        <w:t>se resolvieron 146 asuntos más</w:t>
      </w:r>
      <w:r w:rsidR="00BE7C3E" w:rsidRPr="002763F0">
        <w:rPr>
          <w:rFonts w:ascii="Arial" w:hAnsi="Arial" w:cs="Arial"/>
          <w:sz w:val="24"/>
          <w:szCs w:val="24"/>
          <w:lang w:val="es-ES"/>
        </w:rPr>
        <w:t xml:space="preserve">, en relación con los </w:t>
      </w:r>
      <w:r w:rsidR="00997BF2" w:rsidRPr="002763F0">
        <w:rPr>
          <w:rFonts w:ascii="Arial" w:hAnsi="Arial" w:cs="Arial"/>
          <w:sz w:val="24"/>
          <w:szCs w:val="24"/>
          <w:lang w:val="es-ES"/>
        </w:rPr>
        <w:t xml:space="preserve">casos </w:t>
      </w:r>
      <w:r w:rsidR="001A3C91" w:rsidRPr="002763F0">
        <w:rPr>
          <w:rFonts w:ascii="Arial" w:hAnsi="Arial" w:cs="Arial"/>
          <w:sz w:val="24"/>
          <w:szCs w:val="24"/>
          <w:lang w:val="es-ES"/>
        </w:rPr>
        <w:t>entrados</w:t>
      </w:r>
      <w:r w:rsidR="005B7EA2" w:rsidRPr="002763F0">
        <w:rPr>
          <w:rFonts w:ascii="Arial" w:hAnsi="Arial" w:cs="Arial"/>
          <w:sz w:val="24"/>
          <w:szCs w:val="24"/>
          <w:lang w:val="es-ES"/>
        </w:rPr>
        <w:t xml:space="preserve">.  </w:t>
      </w:r>
    </w:p>
    <w:p w14:paraId="410C8F29" w14:textId="4E584C22" w:rsidR="001E21FB" w:rsidRPr="00BB53C0" w:rsidRDefault="00690499" w:rsidP="002F7058">
      <w:pPr>
        <w:spacing w:line="360" w:lineRule="auto"/>
        <w:ind w:firstLine="708"/>
        <w:jc w:val="both"/>
        <w:rPr>
          <w:rFonts w:ascii="Arial" w:hAnsi="Arial" w:cs="Arial"/>
          <w:sz w:val="24"/>
          <w:szCs w:val="24"/>
          <w:lang w:val="es-ES"/>
        </w:rPr>
      </w:pPr>
      <w:r w:rsidRPr="002763F0">
        <w:rPr>
          <w:rFonts w:ascii="Arial" w:hAnsi="Arial" w:cs="Arial"/>
          <w:sz w:val="24"/>
          <w:szCs w:val="24"/>
          <w:lang w:val="es-ES"/>
        </w:rPr>
        <w:lastRenderedPageBreak/>
        <w:t>Desde la entrada en vigencia de la Ley # 8837</w:t>
      </w:r>
      <w:r w:rsidR="00CE5281" w:rsidRPr="002763F0">
        <w:rPr>
          <w:rFonts w:ascii="Arial" w:hAnsi="Arial" w:cs="Arial"/>
          <w:sz w:val="24"/>
          <w:szCs w:val="24"/>
          <w:lang w:val="es-ES"/>
        </w:rPr>
        <w:t>, se concluye que</w:t>
      </w:r>
      <w:r w:rsidR="00330BBD" w:rsidRPr="002763F0">
        <w:rPr>
          <w:rFonts w:ascii="Arial" w:hAnsi="Arial" w:cs="Arial"/>
          <w:sz w:val="24"/>
          <w:szCs w:val="24"/>
          <w:lang w:val="es-ES"/>
        </w:rPr>
        <w:t xml:space="preserve">, </w:t>
      </w:r>
      <w:r w:rsidR="00CE5281" w:rsidRPr="002763F0">
        <w:rPr>
          <w:rFonts w:ascii="Arial" w:hAnsi="Arial" w:cs="Arial"/>
          <w:sz w:val="24"/>
          <w:szCs w:val="24"/>
          <w:lang w:val="es-ES"/>
        </w:rPr>
        <w:t>e</w:t>
      </w:r>
      <w:r w:rsidRPr="002763F0">
        <w:rPr>
          <w:rFonts w:ascii="Arial" w:hAnsi="Arial" w:cs="Arial"/>
          <w:sz w:val="24"/>
          <w:szCs w:val="24"/>
          <w:lang w:val="es-ES"/>
        </w:rPr>
        <w:t>n cuanto al ingreso anual de asuntos</w:t>
      </w:r>
      <w:r w:rsidRPr="00BB53C0">
        <w:rPr>
          <w:rFonts w:ascii="Arial" w:hAnsi="Arial" w:cs="Arial"/>
          <w:sz w:val="24"/>
          <w:szCs w:val="24"/>
          <w:lang w:val="es-ES"/>
        </w:rPr>
        <w:t xml:space="preserve"> a la Sala, se mantiene una estabilidad ya que</w:t>
      </w:r>
      <w:r w:rsidR="00330BBD" w:rsidRPr="00BB53C0">
        <w:rPr>
          <w:rFonts w:ascii="Arial" w:hAnsi="Arial" w:cs="Arial"/>
          <w:sz w:val="24"/>
          <w:szCs w:val="24"/>
          <w:lang w:val="es-ES"/>
        </w:rPr>
        <w:t>,</w:t>
      </w:r>
      <w:r w:rsidRPr="00BB53C0">
        <w:rPr>
          <w:rFonts w:ascii="Arial" w:hAnsi="Arial" w:cs="Arial"/>
          <w:sz w:val="24"/>
          <w:szCs w:val="24"/>
          <w:lang w:val="es-ES"/>
        </w:rPr>
        <w:t xml:space="preserve"> si bien ha mantenido una tendencia a la baja, d</w:t>
      </w:r>
      <w:r w:rsidR="00997BF2" w:rsidRPr="00BB53C0">
        <w:rPr>
          <w:rFonts w:ascii="Arial" w:hAnsi="Arial" w:cs="Arial"/>
          <w:sz w:val="24"/>
          <w:szCs w:val="24"/>
          <w:lang w:val="es-ES"/>
        </w:rPr>
        <w:t xml:space="preserve">urante </w:t>
      </w:r>
      <w:r w:rsidR="001D568E" w:rsidRPr="00BB53C0">
        <w:rPr>
          <w:rFonts w:ascii="Arial" w:hAnsi="Arial" w:cs="Arial"/>
          <w:sz w:val="24"/>
          <w:szCs w:val="24"/>
          <w:lang w:val="es-ES"/>
        </w:rPr>
        <w:t xml:space="preserve">el </w:t>
      </w:r>
      <w:r w:rsidR="005B7EA2" w:rsidRPr="00BB53C0">
        <w:rPr>
          <w:rFonts w:ascii="Arial" w:hAnsi="Arial" w:cs="Arial"/>
          <w:sz w:val="24"/>
          <w:szCs w:val="24"/>
          <w:lang w:val="es-ES"/>
        </w:rPr>
        <w:t>año 201</w:t>
      </w:r>
      <w:r w:rsidR="004516B7" w:rsidRPr="00BB53C0">
        <w:rPr>
          <w:rFonts w:ascii="Arial" w:hAnsi="Arial" w:cs="Arial"/>
          <w:sz w:val="24"/>
          <w:szCs w:val="24"/>
          <w:lang w:val="es-ES"/>
        </w:rPr>
        <w:t>3</w:t>
      </w:r>
      <w:r w:rsidR="005B7EA2" w:rsidRPr="00BB53C0">
        <w:rPr>
          <w:rFonts w:ascii="Arial" w:hAnsi="Arial" w:cs="Arial"/>
          <w:sz w:val="24"/>
          <w:szCs w:val="24"/>
          <w:lang w:val="es-ES"/>
        </w:rPr>
        <w:t xml:space="preserve"> </w:t>
      </w:r>
      <w:r w:rsidR="00BE76B1" w:rsidRPr="00BB53C0">
        <w:rPr>
          <w:rFonts w:ascii="Arial" w:hAnsi="Arial" w:cs="Arial"/>
          <w:sz w:val="24"/>
          <w:szCs w:val="24"/>
          <w:lang w:val="es-ES"/>
        </w:rPr>
        <w:t xml:space="preserve">ingresaron </w:t>
      </w:r>
      <w:r w:rsidR="005B7EA2" w:rsidRPr="00BB53C0">
        <w:rPr>
          <w:rFonts w:ascii="Arial" w:hAnsi="Arial" w:cs="Arial"/>
          <w:sz w:val="24"/>
          <w:szCs w:val="24"/>
          <w:lang w:val="es-ES"/>
        </w:rPr>
        <w:t>1</w:t>
      </w:r>
      <w:r w:rsidR="004516B7" w:rsidRPr="00BB53C0">
        <w:rPr>
          <w:rFonts w:ascii="Arial" w:hAnsi="Arial" w:cs="Arial"/>
          <w:sz w:val="24"/>
          <w:szCs w:val="24"/>
          <w:lang w:val="es-ES"/>
        </w:rPr>
        <w:t>461</w:t>
      </w:r>
      <w:r w:rsidR="002178D5" w:rsidRPr="00BB53C0">
        <w:rPr>
          <w:rFonts w:ascii="Arial" w:hAnsi="Arial" w:cs="Arial"/>
          <w:sz w:val="24"/>
          <w:szCs w:val="24"/>
          <w:lang w:val="es-ES"/>
        </w:rPr>
        <w:t xml:space="preserve"> asuntos</w:t>
      </w:r>
      <w:r w:rsidR="00997BF2" w:rsidRPr="00BB53C0">
        <w:rPr>
          <w:rFonts w:ascii="Arial" w:hAnsi="Arial" w:cs="Arial"/>
          <w:sz w:val="24"/>
          <w:szCs w:val="24"/>
          <w:lang w:val="es-ES"/>
        </w:rPr>
        <w:t xml:space="preserve">, </w:t>
      </w:r>
      <w:r w:rsidRPr="00BB53C0">
        <w:rPr>
          <w:rFonts w:ascii="Arial" w:hAnsi="Arial" w:cs="Arial"/>
          <w:sz w:val="24"/>
          <w:szCs w:val="24"/>
          <w:lang w:val="es-ES"/>
        </w:rPr>
        <w:t>para</w:t>
      </w:r>
      <w:r w:rsidR="00997BF2" w:rsidRPr="00BB53C0">
        <w:rPr>
          <w:rFonts w:ascii="Arial" w:hAnsi="Arial" w:cs="Arial"/>
          <w:sz w:val="24"/>
          <w:szCs w:val="24"/>
          <w:lang w:val="es-ES"/>
        </w:rPr>
        <w:t xml:space="preserve"> e</w:t>
      </w:r>
      <w:r w:rsidR="00BE76B1" w:rsidRPr="00BB53C0">
        <w:rPr>
          <w:rFonts w:ascii="Arial" w:hAnsi="Arial" w:cs="Arial"/>
          <w:sz w:val="24"/>
          <w:szCs w:val="24"/>
          <w:lang w:val="es-ES"/>
        </w:rPr>
        <w:t>l</w:t>
      </w:r>
      <w:r w:rsidRPr="00BB53C0">
        <w:rPr>
          <w:rFonts w:ascii="Arial" w:hAnsi="Arial" w:cs="Arial"/>
          <w:sz w:val="24"/>
          <w:szCs w:val="24"/>
          <w:lang w:val="es-ES"/>
        </w:rPr>
        <w:t xml:space="preserve"> año</w:t>
      </w:r>
      <w:r w:rsidR="00BE76B1" w:rsidRPr="00BB53C0">
        <w:rPr>
          <w:rFonts w:ascii="Arial" w:hAnsi="Arial" w:cs="Arial"/>
          <w:sz w:val="24"/>
          <w:szCs w:val="24"/>
          <w:lang w:val="es-ES"/>
        </w:rPr>
        <w:t xml:space="preserve"> 20</w:t>
      </w:r>
      <w:r w:rsidR="006A558B" w:rsidRPr="00BB53C0">
        <w:rPr>
          <w:rFonts w:ascii="Arial" w:hAnsi="Arial" w:cs="Arial"/>
          <w:sz w:val="24"/>
          <w:szCs w:val="24"/>
          <w:lang w:val="es-ES"/>
        </w:rPr>
        <w:t>20</w:t>
      </w:r>
      <w:r w:rsidR="001D568E" w:rsidRPr="00BB53C0">
        <w:rPr>
          <w:rFonts w:ascii="Arial" w:hAnsi="Arial" w:cs="Arial"/>
          <w:sz w:val="24"/>
          <w:szCs w:val="24"/>
          <w:lang w:val="es-ES"/>
        </w:rPr>
        <w:t xml:space="preserve"> </w:t>
      </w:r>
      <w:r w:rsidR="00997BF2" w:rsidRPr="00BB53C0">
        <w:rPr>
          <w:rFonts w:ascii="Arial" w:hAnsi="Arial" w:cs="Arial"/>
          <w:sz w:val="24"/>
          <w:szCs w:val="24"/>
          <w:lang w:val="es-ES"/>
        </w:rPr>
        <w:t xml:space="preserve">entraron </w:t>
      </w:r>
      <w:r w:rsidR="00CA5B3A" w:rsidRPr="00BB53C0">
        <w:rPr>
          <w:rFonts w:ascii="Arial" w:hAnsi="Arial" w:cs="Arial"/>
          <w:sz w:val="24"/>
          <w:szCs w:val="24"/>
          <w:lang w:val="es-ES"/>
        </w:rPr>
        <w:t>12</w:t>
      </w:r>
      <w:r w:rsidR="006A558B" w:rsidRPr="00BB53C0">
        <w:rPr>
          <w:rFonts w:ascii="Arial" w:hAnsi="Arial" w:cs="Arial"/>
          <w:sz w:val="24"/>
          <w:szCs w:val="24"/>
          <w:lang w:val="es-ES"/>
        </w:rPr>
        <w:t>67</w:t>
      </w:r>
      <w:r w:rsidR="00997BF2" w:rsidRPr="00BB53C0">
        <w:rPr>
          <w:rFonts w:ascii="Arial" w:hAnsi="Arial" w:cs="Arial"/>
          <w:sz w:val="24"/>
          <w:szCs w:val="24"/>
          <w:lang w:val="es-ES"/>
        </w:rPr>
        <w:t>, siendo la</w:t>
      </w:r>
      <w:r w:rsidR="001D568E" w:rsidRPr="00BB53C0">
        <w:rPr>
          <w:rFonts w:ascii="Arial" w:hAnsi="Arial" w:cs="Arial"/>
          <w:sz w:val="24"/>
          <w:szCs w:val="24"/>
          <w:lang w:val="es-ES"/>
        </w:rPr>
        <w:t xml:space="preserve"> diferencia de </w:t>
      </w:r>
      <w:r w:rsidR="006A558B" w:rsidRPr="00BB53C0">
        <w:rPr>
          <w:rFonts w:ascii="Arial" w:hAnsi="Arial" w:cs="Arial"/>
          <w:sz w:val="24"/>
          <w:szCs w:val="24"/>
          <w:lang w:val="es-ES"/>
        </w:rPr>
        <w:t>194</w:t>
      </w:r>
      <w:r w:rsidR="001D568E" w:rsidRPr="00BB53C0">
        <w:rPr>
          <w:rFonts w:ascii="Arial" w:hAnsi="Arial" w:cs="Arial"/>
          <w:sz w:val="24"/>
          <w:szCs w:val="24"/>
          <w:lang w:val="es-ES"/>
        </w:rPr>
        <w:t xml:space="preserve"> asuntos</w:t>
      </w:r>
      <w:r w:rsidR="00A9107D" w:rsidRPr="00BB53C0">
        <w:rPr>
          <w:rFonts w:ascii="Arial" w:hAnsi="Arial" w:cs="Arial"/>
          <w:sz w:val="24"/>
          <w:szCs w:val="24"/>
          <w:lang w:val="es-ES"/>
        </w:rPr>
        <w:t>;</w:t>
      </w:r>
      <w:r w:rsidR="001D568E" w:rsidRPr="00BB53C0">
        <w:rPr>
          <w:rFonts w:ascii="Arial" w:hAnsi="Arial" w:cs="Arial"/>
          <w:sz w:val="24"/>
          <w:szCs w:val="24"/>
          <w:lang w:val="es-ES"/>
        </w:rPr>
        <w:t xml:space="preserve"> </w:t>
      </w:r>
      <w:r w:rsidR="00997BF2" w:rsidRPr="00BB53C0">
        <w:rPr>
          <w:rFonts w:ascii="Arial" w:hAnsi="Arial" w:cs="Arial"/>
          <w:sz w:val="24"/>
          <w:szCs w:val="24"/>
          <w:lang w:val="es-ES"/>
        </w:rPr>
        <w:t xml:space="preserve">sin embargo, </w:t>
      </w:r>
      <w:r w:rsidR="00CE5281" w:rsidRPr="00BB53C0">
        <w:rPr>
          <w:rFonts w:ascii="Arial" w:hAnsi="Arial" w:cs="Arial"/>
          <w:sz w:val="24"/>
          <w:szCs w:val="24"/>
          <w:lang w:val="es-ES"/>
        </w:rPr>
        <w:t xml:space="preserve">durante este periodo </w:t>
      </w:r>
      <w:r w:rsidR="00183023" w:rsidRPr="00BB53C0">
        <w:rPr>
          <w:rFonts w:ascii="Arial" w:hAnsi="Arial" w:cs="Arial"/>
          <w:sz w:val="24"/>
          <w:szCs w:val="24"/>
          <w:lang w:val="es-ES"/>
        </w:rPr>
        <w:t>(2014-2015-2016-2017 y 201</w:t>
      </w:r>
      <w:r w:rsidR="006A558B" w:rsidRPr="00BB53C0">
        <w:rPr>
          <w:rFonts w:ascii="Arial" w:hAnsi="Arial" w:cs="Arial"/>
          <w:sz w:val="24"/>
          <w:szCs w:val="24"/>
          <w:lang w:val="es-ES"/>
        </w:rPr>
        <w:t>9</w:t>
      </w:r>
      <w:r w:rsidR="00183023" w:rsidRPr="00BB53C0">
        <w:rPr>
          <w:rFonts w:ascii="Arial" w:hAnsi="Arial" w:cs="Arial"/>
          <w:sz w:val="24"/>
          <w:szCs w:val="24"/>
          <w:lang w:val="es-ES"/>
        </w:rPr>
        <w:t xml:space="preserve">) siempre </w:t>
      </w:r>
      <w:r w:rsidR="001D568E" w:rsidRPr="00BB53C0">
        <w:rPr>
          <w:rFonts w:ascii="Arial" w:hAnsi="Arial" w:cs="Arial"/>
          <w:sz w:val="24"/>
          <w:szCs w:val="24"/>
          <w:lang w:val="es-ES"/>
        </w:rPr>
        <w:t>se dio un</w:t>
      </w:r>
      <w:r w:rsidR="00183023" w:rsidRPr="00BB53C0">
        <w:rPr>
          <w:rFonts w:ascii="Arial" w:hAnsi="Arial" w:cs="Arial"/>
          <w:sz w:val="24"/>
          <w:szCs w:val="24"/>
          <w:lang w:val="es-ES"/>
        </w:rPr>
        <w:t>a disminución</w:t>
      </w:r>
      <w:r w:rsidR="001D568E" w:rsidRPr="00BB53C0">
        <w:rPr>
          <w:rFonts w:ascii="Arial" w:hAnsi="Arial" w:cs="Arial"/>
          <w:sz w:val="24"/>
          <w:szCs w:val="24"/>
          <w:lang w:val="es-ES"/>
        </w:rPr>
        <w:t xml:space="preserve"> de asuntos ingresado</w:t>
      </w:r>
      <w:r w:rsidR="00997BF2" w:rsidRPr="00BB53C0">
        <w:rPr>
          <w:rFonts w:ascii="Arial" w:hAnsi="Arial" w:cs="Arial"/>
          <w:sz w:val="24"/>
          <w:szCs w:val="24"/>
          <w:lang w:val="es-ES"/>
        </w:rPr>
        <w:t>s.</w:t>
      </w:r>
      <w:r w:rsidR="00A9107D" w:rsidRPr="00BB53C0">
        <w:rPr>
          <w:rFonts w:ascii="Arial" w:hAnsi="Arial" w:cs="Arial"/>
          <w:sz w:val="24"/>
          <w:szCs w:val="24"/>
          <w:lang w:val="es-ES"/>
        </w:rPr>
        <w:t xml:space="preserve"> </w:t>
      </w:r>
      <w:r w:rsidR="00D96142" w:rsidRPr="00BB53C0">
        <w:rPr>
          <w:rFonts w:ascii="Arial" w:hAnsi="Arial" w:cs="Arial"/>
          <w:sz w:val="24"/>
          <w:szCs w:val="24"/>
          <w:lang w:val="es-ES"/>
        </w:rPr>
        <w:t xml:space="preserve"> </w:t>
      </w:r>
    </w:p>
    <w:p w14:paraId="19DCE0F4" w14:textId="7B3ACF0B" w:rsidR="00996343" w:rsidRPr="0094229B" w:rsidRDefault="004E756C" w:rsidP="002F7058">
      <w:pPr>
        <w:spacing w:line="360" w:lineRule="auto"/>
        <w:ind w:firstLine="708"/>
        <w:jc w:val="both"/>
        <w:rPr>
          <w:rFonts w:ascii="Arial" w:hAnsi="Arial" w:cs="Arial"/>
          <w:sz w:val="24"/>
          <w:szCs w:val="24"/>
          <w:lang w:val="es-ES"/>
        </w:rPr>
      </w:pPr>
      <w:r w:rsidRPr="0094229B">
        <w:rPr>
          <w:rFonts w:ascii="Arial" w:hAnsi="Arial" w:cs="Arial"/>
          <w:sz w:val="24"/>
          <w:szCs w:val="24"/>
          <w:lang w:val="es-ES"/>
        </w:rPr>
        <w:t>Otro factor importante a destacar en cuanto a los resultados estadísticos obtenidos durante el año 20</w:t>
      </w:r>
      <w:r w:rsidR="006A558B" w:rsidRPr="0094229B">
        <w:rPr>
          <w:rFonts w:ascii="Arial" w:hAnsi="Arial" w:cs="Arial"/>
          <w:sz w:val="24"/>
          <w:szCs w:val="24"/>
          <w:lang w:val="es-ES"/>
        </w:rPr>
        <w:t>20</w:t>
      </w:r>
      <w:r w:rsidRPr="0094229B">
        <w:rPr>
          <w:rFonts w:ascii="Arial" w:hAnsi="Arial" w:cs="Arial"/>
          <w:sz w:val="24"/>
          <w:szCs w:val="24"/>
          <w:lang w:val="es-ES"/>
        </w:rPr>
        <w:t xml:space="preserve">, corresponde a </w:t>
      </w:r>
      <w:r w:rsidR="00DC5849" w:rsidRPr="0094229B">
        <w:rPr>
          <w:rFonts w:ascii="Arial" w:hAnsi="Arial" w:cs="Arial"/>
          <w:sz w:val="24"/>
          <w:szCs w:val="24"/>
          <w:lang w:val="es-ES"/>
        </w:rPr>
        <w:t xml:space="preserve">un significativo aumento </w:t>
      </w:r>
      <w:r w:rsidRPr="0094229B">
        <w:rPr>
          <w:rFonts w:ascii="Arial" w:hAnsi="Arial" w:cs="Arial"/>
          <w:sz w:val="24"/>
          <w:szCs w:val="24"/>
          <w:lang w:val="es-ES"/>
        </w:rPr>
        <w:t xml:space="preserve">en los asuntos resueltos y consecuente incidencia en </w:t>
      </w:r>
      <w:r w:rsidR="00DC5849" w:rsidRPr="0094229B">
        <w:rPr>
          <w:rFonts w:ascii="Arial" w:hAnsi="Arial" w:cs="Arial"/>
          <w:sz w:val="24"/>
          <w:szCs w:val="24"/>
          <w:lang w:val="es-ES"/>
        </w:rPr>
        <w:t>la disminución</w:t>
      </w:r>
      <w:r w:rsidR="00690499" w:rsidRPr="0094229B">
        <w:rPr>
          <w:rFonts w:ascii="Arial" w:hAnsi="Arial" w:cs="Arial"/>
          <w:sz w:val="24"/>
          <w:szCs w:val="24"/>
          <w:lang w:val="es-ES"/>
        </w:rPr>
        <w:t xml:space="preserve"> de </w:t>
      </w:r>
      <w:r w:rsidRPr="0094229B">
        <w:rPr>
          <w:rFonts w:ascii="Arial" w:hAnsi="Arial" w:cs="Arial"/>
          <w:sz w:val="24"/>
          <w:szCs w:val="24"/>
          <w:lang w:val="es-ES"/>
        </w:rPr>
        <w:t>los tiempos de resolución de los recursos de casación y los procedimientos de resolución.</w:t>
      </w:r>
      <w:r w:rsidR="00CE5281" w:rsidRPr="0094229B">
        <w:rPr>
          <w:rFonts w:ascii="Arial" w:hAnsi="Arial" w:cs="Arial"/>
          <w:sz w:val="24"/>
          <w:szCs w:val="24"/>
          <w:lang w:val="es-ES"/>
        </w:rPr>
        <w:t xml:space="preserve"> </w:t>
      </w:r>
      <w:r w:rsidR="00B640B5" w:rsidRPr="0094229B">
        <w:rPr>
          <w:rFonts w:ascii="Arial" w:hAnsi="Arial" w:cs="Arial"/>
          <w:sz w:val="24"/>
          <w:szCs w:val="24"/>
          <w:lang w:val="es-ES"/>
        </w:rPr>
        <w:t>La baja</w:t>
      </w:r>
      <w:r w:rsidR="00EC25B6" w:rsidRPr="0094229B">
        <w:rPr>
          <w:rFonts w:ascii="Arial" w:hAnsi="Arial" w:cs="Arial"/>
          <w:sz w:val="24"/>
          <w:szCs w:val="24"/>
          <w:lang w:val="es-ES"/>
        </w:rPr>
        <w:t xml:space="preserve"> en los tiempos de resolución </w:t>
      </w:r>
      <w:r w:rsidR="00935781" w:rsidRPr="0094229B">
        <w:rPr>
          <w:rFonts w:ascii="Arial" w:hAnsi="Arial" w:cs="Arial"/>
          <w:sz w:val="24"/>
          <w:szCs w:val="24"/>
          <w:lang w:val="es-ES"/>
        </w:rPr>
        <w:t xml:space="preserve">se </w:t>
      </w:r>
      <w:r w:rsidR="00B640B5" w:rsidRPr="0094229B">
        <w:rPr>
          <w:rFonts w:ascii="Arial" w:hAnsi="Arial" w:cs="Arial"/>
          <w:sz w:val="24"/>
          <w:szCs w:val="24"/>
          <w:lang w:val="es-ES"/>
        </w:rPr>
        <w:t xml:space="preserve">debe a que </w:t>
      </w:r>
      <w:r w:rsidR="00EC25B6" w:rsidRPr="0094229B">
        <w:rPr>
          <w:rFonts w:ascii="Arial" w:hAnsi="Arial" w:cs="Arial"/>
          <w:sz w:val="24"/>
          <w:szCs w:val="24"/>
          <w:lang w:val="es-ES"/>
        </w:rPr>
        <w:t xml:space="preserve">en los recursos de casación se </w:t>
      </w:r>
      <w:r w:rsidR="00112F48" w:rsidRPr="0094229B">
        <w:rPr>
          <w:rFonts w:ascii="Arial" w:hAnsi="Arial" w:cs="Arial"/>
          <w:sz w:val="24"/>
          <w:szCs w:val="24"/>
          <w:lang w:val="es-ES"/>
        </w:rPr>
        <w:t>tard</w:t>
      </w:r>
      <w:r w:rsidR="00F65DFC" w:rsidRPr="0094229B">
        <w:rPr>
          <w:rFonts w:ascii="Arial" w:hAnsi="Arial" w:cs="Arial"/>
          <w:sz w:val="24"/>
          <w:szCs w:val="24"/>
          <w:lang w:val="es-ES"/>
        </w:rPr>
        <w:t>aron en su resolución</w:t>
      </w:r>
      <w:r w:rsidR="00112F48" w:rsidRPr="0094229B">
        <w:rPr>
          <w:rFonts w:ascii="Arial" w:hAnsi="Arial" w:cs="Arial"/>
          <w:sz w:val="24"/>
          <w:szCs w:val="24"/>
          <w:lang w:val="es-ES"/>
        </w:rPr>
        <w:t xml:space="preserve"> un promedio de</w:t>
      </w:r>
      <w:r w:rsidR="00EC25B6" w:rsidRPr="0094229B">
        <w:rPr>
          <w:rFonts w:ascii="Arial" w:hAnsi="Arial" w:cs="Arial"/>
          <w:sz w:val="24"/>
          <w:szCs w:val="24"/>
          <w:lang w:val="es-ES"/>
        </w:rPr>
        <w:t xml:space="preserve"> </w:t>
      </w:r>
      <w:r w:rsidR="00B812EC" w:rsidRPr="0094229B">
        <w:rPr>
          <w:rFonts w:ascii="Arial" w:hAnsi="Arial" w:cs="Arial"/>
          <w:sz w:val="24"/>
          <w:szCs w:val="24"/>
          <w:lang w:val="es-ES"/>
        </w:rPr>
        <w:t>4</w:t>
      </w:r>
      <w:r w:rsidR="00EC25B6" w:rsidRPr="0094229B">
        <w:rPr>
          <w:rFonts w:ascii="Arial" w:hAnsi="Arial" w:cs="Arial"/>
          <w:sz w:val="24"/>
          <w:szCs w:val="24"/>
          <w:lang w:val="es-ES"/>
        </w:rPr>
        <w:t xml:space="preserve"> meses, </w:t>
      </w:r>
      <w:r w:rsidR="00B640B5" w:rsidRPr="0094229B">
        <w:rPr>
          <w:rFonts w:ascii="Arial" w:hAnsi="Arial" w:cs="Arial"/>
          <w:sz w:val="24"/>
          <w:szCs w:val="24"/>
          <w:lang w:val="es-ES"/>
        </w:rPr>
        <w:t>disminuyendo</w:t>
      </w:r>
      <w:r w:rsidR="00EC25B6" w:rsidRPr="0094229B">
        <w:rPr>
          <w:rFonts w:ascii="Arial" w:hAnsi="Arial" w:cs="Arial"/>
          <w:sz w:val="24"/>
          <w:szCs w:val="24"/>
          <w:lang w:val="es-ES"/>
        </w:rPr>
        <w:t xml:space="preserve"> en </w:t>
      </w:r>
      <w:r w:rsidR="00B812EC" w:rsidRPr="0094229B">
        <w:rPr>
          <w:rFonts w:ascii="Arial" w:hAnsi="Arial" w:cs="Arial"/>
          <w:sz w:val="24"/>
          <w:szCs w:val="24"/>
          <w:lang w:val="es-ES"/>
        </w:rPr>
        <w:t>1</w:t>
      </w:r>
      <w:r w:rsidR="00B640B5" w:rsidRPr="0094229B">
        <w:rPr>
          <w:rFonts w:ascii="Arial" w:hAnsi="Arial" w:cs="Arial"/>
          <w:sz w:val="24"/>
          <w:szCs w:val="24"/>
          <w:lang w:val="es-ES"/>
        </w:rPr>
        <w:t xml:space="preserve"> mes</w:t>
      </w:r>
      <w:r w:rsidR="00EC25B6" w:rsidRPr="0094229B">
        <w:rPr>
          <w:rFonts w:ascii="Arial" w:hAnsi="Arial" w:cs="Arial"/>
          <w:sz w:val="24"/>
          <w:szCs w:val="24"/>
          <w:lang w:val="es-ES"/>
        </w:rPr>
        <w:t xml:space="preserve"> con respecto al año </w:t>
      </w:r>
      <w:r w:rsidR="00B640B5" w:rsidRPr="0094229B">
        <w:rPr>
          <w:rFonts w:ascii="Arial" w:hAnsi="Arial" w:cs="Arial"/>
          <w:sz w:val="24"/>
          <w:szCs w:val="24"/>
          <w:lang w:val="es-ES"/>
        </w:rPr>
        <w:t>201</w:t>
      </w:r>
      <w:r w:rsidR="00B812EC" w:rsidRPr="0094229B">
        <w:rPr>
          <w:rFonts w:ascii="Arial" w:hAnsi="Arial" w:cs="Arial"/>
          <w:sz w:val="24"/>
          <w:szCs w:val="24"/>
          <w:lang w:val="es-ES"/>
        </w:rPr>
        <w:t>9</w:t>
      </w:r>
      <w:r w:rsidR="00EC25B6" w:rsidRPr="0094229B">
        <w:rPr>
          <w:rFonts w:ascii="Arial" w:hAnsi="Arial" w:cs="Arial"/>
          <w:sz w:val="24"/>
          <w:szCs w:val="24"/>
          <w:lang w:val="es-ES"/>
        </w:rPr>
        <w:t>; con respecto a los procedimientos de revisión se obtuvo un tiempo</w:t>
      </w:r>
      <w:r w:rsidR="00112F48" w:rsidRPr="0094229B">
        <w:rPr>
          <w:rFonts w:ascii="Arial" w:hAnsi="Arial" w:cs="Arial"/>
          <w:sz w:val="24"/>
          <w:szCs w:val="24"/>
          <w:lang w:val="es-ES"/>
        </w:rPr>
        <w:t xml:space="preserve"> promedio</w:t>
      </w:r>
      <w:r w:rsidR="00EC25B6" w:rsidRPr="0094229B">
        <w:rPr>
          <w:rFonts w:ascii="Arial" w:hAnsi="Arial" w:cs="Arial"/>
          <w:sz w:val="24"/>
          <w:szCs w:val="24"/>
          <w:lang w:val="es-ES"/>
        </w:rPr>
        <w:t xml:space="preserve"> de resolución de </w:t>
      </w:r>
      <w:r w:rsidR="00B812EC" w:rsidRPr="0094229B">
        <w:rPr>
          <w:rFonts w:ascii="Arial" w:hAnsi="Arial" w:cs="Arial"/>
          <w:sz w:val="24"/>
          <w:szCs w:val="24"/>
          <w:lang w:val="es-ES"/>
        </w:rPr>
        <w:t>6</w:t>
      </w:r>
      <w:r w:rsidR="00EC25B6" w:rsidRPr="0094229B">
        <w:rPr>
          <w:rFonts w:ascii="Arial" w:hAnsi="Arial" w:cs="Arial"/>
          <w:sz w:val="24"/>
          <w:szCs w:val="24"/>
          <w:lang w:val="es-ES"/>
        </w:rPr>
        <w:t xml:space="preserve"> meses</w:t>
      </w:r>
      <w:r w:rsidR="00B812EC" w:rsidRPr="0094229B">
        <w:rPr>
          <w:rFonts w:ascii="Arial" w:hAnsi="Arial" w:cs="Arial"/>
          <w:sz w:val="24"/>
          <w:szCs w:val="24"/>
          <w:lang w:val="es-ES"/>
        </w:rPr>
        <w:t xml:space="preserve"> y una semana</w:t>
      </w:r>
      <w:r w:rsidR="00EC25B6" w:rsidRPr="0094229B">
        <w:rPr>
          <w:rFonts w:ascii="Arial" w:hAnsi="Arial" w:cs="Arial"/>
          <w:sz w:val="24"/>
          <w:szCs w:val="24"/>
          <w:lang w:val="es-ES"/>
        </w:rPr>
        <w:t xml:space="preserve">, </w:t>
      </w:r>
      <w:r w:rsidR="00B640B5" w:rsidRPr="0094229B">
        <w:rPr>
          <w:rFonts w:ascii="Arial" w:hAnsi="Arial" w:cs="Arial"/>
          <w:sz w:val="24"/>
          <w:szCs w:val="24"/>
          <w:lang w:val="es-ES"/>
        </w:rPr>
        <w:t xml:space="preserve">disminuyendo </w:t>
      </w:r>
      <w:r w:rsidR="00EC25B6" w:rsidRPr="0094229B">
        <w:rPr>
          <w:rFonts w:ascii="Arial" w:hAnsi="Arial" w:cs="Arial"/>
          <w:sz w:val="24"/>
          <w:szCs w:val="24"/>
          <w:lang w:val="es-ES"/>
        </w:rPr>
        <w:t xml:space="preserve">en </w:t>
      </w:r>
      <w:r w:rsidR="00B812EC" w:rsidRPr="0094229B">
        <w:rPr>
          <w:rFonts w:ascii="Arial" w:hAnsi="Arial" w:cs="Arial"/>
          <w:sz w:val="24"/>
          <w:szCs w:val="24"/>
          <w:lang w:val="es-ES"/>
        </w:rPr>
        <w:t xml:space="preserve">3 semanas </w:t>
      </w:r>
      <w:r w:rsidR="00EC25B6" w:rsidRPr="0094229B">
        <w:rPr>
          <w:rFonts w:ascii="Arial" w:hAnsi="Arial" w:cs="Arial"/>
          <w:sz w:val="24"/>
          <w:szCs w:val="24"/>
          <w:lang w:val="es-ES"/>
        </w:rPr>
        <w:t>en relación con el año 201</w:t>
      </w:r>
      <w:r w:rsidR="00B812EC" w:rsidRPr="0094229B">
        <w:rPr>
          <w:rFonts w:ascii="Arial" w:hAnsi="Arial" w:cs="Arial"/>
          <w:sz w:val="24"/>
          <w:szCs w:val="24"/>
          <w:lang w:val="es-ES"/>
        </w:rPr>
        <w:t>9</w:t>
      </w:r>
      <w:r w:rsidR="00EC25B6" w:rsidRPr="0094229B">
        <w:rPr>
          <w:rFonts w:ascii="Arial" w:hAnsi="Arial" w:cs="Arial"/>
          <w:sz w:val="24"/>
          <w:szCs w:val="24"/>
          <w:lang w:val="es-ES"/>
        </w:rPr>
        <w:t>.</w:t>
      </w:r>
      <w:r w:rsidRPr="0094229B">
        <w:rPr>
          <w:rFonts w:ascii="Arial" w:hAnsi="Arial" w:cs="Arial"/>
          <w:sz w:val="24"/>
          <w:szCs w:val="24"/>
          <w:lang w:val="es-ES"/>
        </w:rPr>
        <w:t xml:space="preserve"> </w:t>
      </w:r>
      <w:r w:rsidR="000055E9" w:rsidRPr="0094229B">
        <w:rPr>
          <w:rFonts w:ascii="Arial" w:hAnsi="Arial" w:cs="Arial"/>
          <w:sz w:val="24"/>
          <w:szCs w:val="24"/>
          <w:lang w:val="es-ES"/>
        </w:rPr>
        <w:t>L</w:t>
      </w:r>
      <w:r w:rsidR="00B7687E" w:rsidRPr="0094229B">
        <w:rPr>
          <w:rFonts w:ascii="Arial" w:hAnsi="Arial" w:cs="Arial"/>
          <w:sz w:val="24"/>
          <w:szCs w:val="24"/>
          <w:lang w:val="es-ES"/>
        </w:rPr>
        <w:t>a tendencia</w:t>
      </w:r>
      <w:r w:rsidR="00E5555E" w:rsidRPr="0094229B">
        <w:rPr>
          <w:rFonts w:ascii="Arial" w:hAnsi="Arial" w:cs="Arial"/>
          <w:sz w:val="24"/>
          <w:szCs w:val="24"/>
          <w:lang w:val="es-ES"/>
        </w:rPr>
        <w:t xml:space="preserve"> en cuanto a los asuntos resueltos</w:t>
      </w:r>
      <w:r w:rsidR="00B7687E" w:rsidRPr="0094229B">
        <w:rPr>
          <w:rFonts w:ascii="Arial" w:hAnsi="Arial" w:cs="Arial"/>
          <w:sz w:val="24"/>
          <w:szCs w:val="24"/>
          <w:lang w:val="es-ES"/>
        </w:rPr>
        <w:t xml:space="preserve"> </w:t>
      </w:r>
      <w:r w:rsidR="000055E9" w:rsidRPr="0094229B">
        <w:rPr>
          <w:rFonts w:ascii="Arial" w:hAnsi="Arial" w:cs="Arial"/>
          <w:sz w:val="24"/>
          <w:szCs w:val="24"/>
          <w:lang w:val="es-ES"/>
        </w:rPr>
        <w:t xml:space="preserve">se manifestó </w:t>
      </w:r>
      <w:r w:rsidR="005875B2" w:rsidRPr="0094229B">
        <w:rPr>
          <w:rFonts w:ascii="Arial" w:hAnsi="Arial" w:cs="Arial"/>
          <w:sz w:val="24"/>
          <w:szCs w:val="24"/>
          <w:lang w:val="es-ES"/>
        </w:rPr>
        <w:t xml:space="preserve">desde </w:t>
      </w:r>
      <w:r w:rsidR="005B7EA2" w:rsidRPr="0094229B">
        <w:rPr>
          <w:rFonts w:ascii="Arial" w:hAnsi="Arial" w:cs="Arial"/>
          <w:sz w:val="24"/>
          <w:szCs w:val="24"/>
          <w:lang w:val="es-ES"/>
        </w:rPr>
        <w:t xml:space="preserve">el año 2013 </w:t>
      </w:r>
      <w:r w:rsidR="000055E9" w:rsidRPr="0094229B">
        <w:rPr>
          <w:rFonts w:ascii="Arial" w:hAnsi="Arial" w:cs="Arial"/>
          <w:sz w:val="24"/>
          <w:szCs w:val="24"/>
          <w:lang w:val="es-ES"/>
        </w:rPr>
        <w:t xml:space="preserve">con </w:t>
      </w:r>
      <w:r w:rsidR="005B7EA2" w:rsidRPr="0094229B">
        <w:rPr>
          <w:rFonts w:ascii="Arial" w:hAnsi="Arial" w:cs="Arial"/>
          <w:sz w:val="24"/>
          <w:szCs w:val="24"/>
          <w:lang w:val="es-ES"/>
        </w:rPr>
        <w:t>1629</w:t>
      </w:r>
      <w:r w:rsidR="000055E9" w:rsidRPr="0094229B">
        <w:rPr>
          <w:rFonts w:ascii="Arial" w:hAnsi="Arial" w:cs="Arial"/>
          <w:sz w:val="24"/>
          <w:szCs w:val="24"/>
          <w:lang w:val="es-ES"/>
        </w:rPr>
        <w:t xml:space="preserve"> </w:t>
      </w:r>
      <w:r w:rsidR="005875B2" w:rsidRPr="0094229B">
        <w:rPr>
          <w:rFonts w:ascii="Arial" w:hAnsi="Arial" w:cs="Arial"/>
          <w:sz w:val="24"/>
          <w:szCs w:val="24"/>
          <w:lang w:val="es-ES"/>
        </w:rPr>
        <w:t xml:space="preserve">casos </w:t>
      </w:r>
      <w:r w:rsidR="000055E9" w:rsidRPr="0094229B">
        <w:rPr>
          <w:rFonts w:ascii="Arial" w:hAnsi="Arial" w:cs="Arial"/>
          <w:sz w:val="24"/>
          <w:szCs w:val="24"/>
          <w:lang w:val="es-ES"/>
        </w:rPr>
        <w:t>resueltos</w:t>
      </w:r>
      <w:r w:rsidR="005B7EA2" w:rsidRPr="0094229B">
        <w:rPr>
          <w:rFonts w:ascii="Arial" w:hAnsi="Arial" w:cs="Arial"/>
          <w:sz w:val="24"/>
          <w:szCs w:val="24"/>
          <w:lang w:val="es-ES"/>
        </w:rPr>
        <w:t>, 138 menos que en el 2012</w:t>
      </w:r>
      <w:r w:rsidR="005875B2" w:rsidRPr="0094229B">
        <w:rPr>
          <w:rFonts w:ascii="Arial" w:hAnsi="Arial" w:cs="Arial"/>
          <w:sz w:val="24"/>
          <w:szCs w:val="24"/>
          <w:lang w:val="es-ES"/>
        </w:rPr>
        <w:t>;</w:t>
      </w:r>
      <w:r w:rsidR="00EB7001" w:rsidRPr="0094229B">
        <w:rPr>
          <w:rFonts w:ascii="Arial" w:hAnsi="Arial" w:cs="Arial"/>
          <w:sz w:val="24"/>
          <w:szCs w:val="24"/>
          <w:lang w:val="es-ES"/>
        </w:rPr>
        <w:t xml:space="preserve"> </w:t>
      </w:r>
      <w:r w:rsidR="000055E9" w:rsidRPr="0094229B">
        <w:rPr>
          <w:rFonts w:ascii="Arial" w:hAnsi="Arial" w:cs="Arial"/>
          <w:sz w:val="24"/>
          <w:szCs w:val="24"/>
          <w:lang w:val="es-ES"/>
        </w:rPr>
        <w:t xml:space="preserve">la diferencia entre lo resuelto en el </w:t>
      </w:r>
      <w:r w:rsidR="00EB7001" w:rsidRPr="0094229B">
        <w:rPr>
          <w:rFonts w:ascii="Arial" w:hAnsi="Arial" w:cs="Arial"/>
          <w:sz w:val="24"/>
          <w:szCs w:val="24"/>
          <w:lang w:val="es-ES"/>
        </w:rPr>
        <w:t xml:space="preserve">2014 </w:t>
      </w:r>
      <w:r w:rsidR="00C677D4" w:rsidRPr="0094229B">
        <w:rPr>
          <w:rFonts w:ascii="Arial" w:hAnsi="Arial" w:cs="Arial"/>
          <w:sz w:val="24"/>
          <w:szCs w:val="24"/>
          <w:lang w:val="es-ES"/>
        </w:rPr>
        <w:t xml:space="preserve">con </w:t>
      </w:r>
      <w:r w:rsidR="000055E9" w:rsidRPr="0094229B">
        <w:rPr>
          <w:rFonts w:ascii="Arial" w:hAnsi="Arial" w:cs="Arial"/>
          <w:sz w:val="24"/>
          <w:szCs w:val="24"/>
          <w:lang w:val="es-ES"/>
        </w:rPr>
        <w:t xml:space="preserve">respecto al 2013 fue de </w:t>
      </w:r>
      <w:r w:rsidR="00EB7001" w:rsidRPr="0094229B">
        <w:rPr>
          <w:rFonts w:ascii="Arial" w:hAnsi="Arial" w:cs="Arial"/>
          <w:sz w:val="24"/>
          <w:szCs w:val="24"/>
          <w:lang w:val="es-ES"/>
        </w:rPr>
        <w:t xml:space="preserve">45 </w:t>
      </w:r>
      <w:r w:rsidR="000055E9" w:rsidRPr="0094229B">
        <w:rPr>
          <w:rFonts w:ascii="Arial" w:hAnsi="Arial" w:cs="Arial"/>
          <w:sz w:val="24"/>
          <w:szCs w:val="24"/>
          <w:lang w:val="es-ES"/>
        </w:rPr>
        <w:t xml:space="preserve">asuntos </w:t>
      </w:r>
      <w:r w:rsidR="00EB7001" w:rsidRPr="0094229B">
        <w:rPr>
          <w:rFonts w:ascii="Arial" w:hAnsi="Arial" w:cs="Arial"/>
          <w:sz w:val="24"/>
          <w:szCs w:val="24"/>
          <w:lang w:val="es-ES"/>
        </w:rPr>
        <w:t>menos</w:t>
      </w:r>
      <w:r w:rsidR="001E21FB" w:rsidRPr="0094229B">
        <w:rPr>
          <w:rFonts w:ascii="Arial" w:hAnsi="Arial" w:cs="Arial"/>
          <w:sz w:val="24"/>
          <w:szCs w:val="24"/>
          <w:lang w:val="es-ES"/>
        </w:rPr>
        <w:t xml:space="preserve">, y </w:t>
      </w:r>
      <w:r w:rsidR="000055E9" w:rsidRPr="0094229B">
        <w:rPr>
          <w:rFonts w:ascii="Arial" w:hAnsi="Arial" w:cs="Arial"/>
          <w:sz w:val="24"/>
          <w:szCs w:val="24"/>
          <w:lang w:val="es-ES"/>
        </w:rPr>
        <w:t xml:space="preserve">del </w:t>
      </w:r>
      <w:r w:rsidR="001E21FB" w:rsidRPr="0094229B">
        <w:rPr>
          <w:rFonts w:ascii="Arial" w:hAnsi="Arial" w:cs="Arial"/>
          <w:sz w:val="24"/>
          <w:szCs w:val="24"/>
          <w:lang w:val="es-ES"/>
        </w:rPr>
        <w:t xml:space="preserve">año 2015 </w:t>
      </w:r>
      <w:r w:rsidR="000055E9" w:rsidRPr="0094229B">
        <w:rPr>
          <w:rFonts w:ascii="Arial" w:hAnsi="Arial" w:cs="Arial"/>
          <w:sz w:val="24"/>
          <w:szCs w:val="24"/>
          <w:lang w:val="es-ES"/>
        </w:rPr>
        <w:t xml:space="preserve">al 2014 </w:t>
      </w:r>
      <w:r w:rsidR="00C677D4" w:rsidRPr="0094229B">
        <w:rPr>
          <w:rFonts w:ascii="Arial" w:hAnsi="Arial" w:cs="Arial"/>
          <w:sz w:val="24"/>
          <w:szCs w:val="24"/>
          <w:lang w:val="es-ES"/>
        </w:rPr>
        <w:t xml:space="preserve">se </w:t>
      </w:r>
      <w:r w:rsidR="00E31261" w:rsidRPr="0094229B">
        <w:rPr>
          <w:rFonts w:ascii="Arial" w:hAnsi="Arial" w:cs="Arial"/>
          <w:sz w:val="24"/>
          <w:szCs w:val="24"/>
          <w:lang w:val="es-ES"/>
        </w:rPr>
        <w:t>resolvieron</w:t>
      </w:r>
      <w:r w:rsidR="00C677D4" w:rsidRPr="0094229B">
        <w:rPr>
          <w:rFonts w:ascii="Arial" w:hAnsi="Arial" w:cs="Arial"/>
          <w:sz w:val="24"/>
          <w:szCs w:val="24"/>
          <w:lang w:val="es-ES"/>
        </w:rPr>
        <w:t xml:space="preserve"> </w:t>
      </w:r>
      <w:r w:rsidR="00BD2174" w:rsidRPr="0094229B">
        <w:rPr>
          <w:rFonts w:ascii="Arial" w:hAnsi="Arial" w:cs="Arial"/>
          <w:sz w:val="24"/>
          <w:szCs w:val="24"/>
          <w:lang w:val="es-ES"/>
        </w:rPr>
        <w:t>245</w:t>
      </w:r>
      <w:r w:rsidR="001E21FB" w:rsidRPr="0094229B">
        <w:rPr>
          <w:rFonts w:ascii="Arial" w:hAnsi="Arial" w:cs="Arial"/>
          <w:sz w:val="24"/>
          <w:szCs w:val="24"/>
          <w:lang w:val="es-ES"/>
        </w:rPr>
        <w:t xml:space="preserve"> </w:t>
      </w:r>
      <w:r w:rsidR="005875B2" w:rsidRPr="0094229B">
        <w:rPr>
          <w:rFonts w:ascii="Arial" w:hAnsi="Arial" w:cs="Arial"/>
          <w:sz w:val="24"/>
          <w:szCs w:val="24"/>
          <w:lang w:val="es-ES"/>
        </w:rPr>
        <w:t xml:space="preserve">casos </w:t>
      </w:r>
      <w:r w:rsidR="001E21FB" w:rsidRPr="0094229B">
        <w:rPr>
          <w:rFonts w:ascii="Arial" w:hAnsi="Arial" w:cs="Arial"/>
          <w:sz w:val="24"/>
          <w:szCs w:val="24"/>
          <w:lang w:val="es-ES"/>
        </w:rPr>
        <w:t>menos</w:t>
      </w:r>
      <w:r w:rsidR="00EB7001" w:rsidRPr="0094229B">
        <w:rPr>
          <w:rFonts w:ascii="Arial" w:hAnsi="Arial" w:cs="Arial"/>
          <w:sz w:val="24"/>
          <w:szCs w:val="24"/>
          <w:lang w:val="es-ES"/>
        </w:rPr>
        <w:t>.</w:t>
      </w:r>
      <w:r w:rsidR="000055E9" w:rsidRPr="0094229B">
        <w:rPr>
          <w:rFonts w:ascii="Arial" w:hAnsi="Arial" w:cs="Arial"/>
          <w:sz w:val="24"/>
          <w:szCs w:val="24"/>
          <w:lang w:val="es-ES"/>
        </w:rPr>
        <w:t xml:space="preserve"> </w:t>
      </w:r>
      <w:r w:rsidR="005B7EA2" w:rsidRPr="0094229B">
        <w:rPr>
          <w:rFonts w:ascii="Arial" w:hAnsi="Arial" w:cs="Arial"/>
          <w:sz w:val="24"/>
          <w:szCs w:val="24"/>
          <w:lang w:val="es-ES"/>
        </w:rPr>
        <w:t xml:space="preserve"> </w:t>
      </w:r>
      <w:r w:rsidR="000055E9" w:rsidRPr="0094229B">
        <w:rPr>
          <w:rFonts w:ascii="Arial" w:hAnsi="Arial" w:cs="Arial"/>
          <w:sz w:val="24"/>
          <w:szCs w:val="24"/>
          <w:lang w:val="es-ES"/>
        </w:rPr>
        <w:t xml:space="preserve">Para el año 2016 se resolvieron </w:t>
      </w:r>
      <w:r w:rsidR="00B17C41" w:rsidRPr="0094229B">
        <w:rPr>
          <w:rFonts w:ascii="Arial" w:hAnsi="Arial" w:cs="Arial"/>
          <w:sz w:val="24"/>
          <w:szCs w:val="24"/>
          <w:lang w:val="es-ES"/>
        </w:rPr>
        <w:t>1066</w:t>
      </w:r>
      <w:r w:rsidR="000055E9" w:rsidRPr="0094229B">
        <w:rPr>
          <w:rFonts w:ascii="Arial" w:hAnsi="Arial" w:cs="Arial"/>
          <w:sz w:val="24"/>
          <w:szCs w:val="24"/>
          <w:lang w:val="es-ES"/>
        </w:rPr>
        <w:t xml:space="preserve"> asuntos, </w:t>
      </w:r>
      <w:r w:rsidR="00B17C41" w:rsidRPr="0094229B">
        <w:rPr>
          <w:rFonts w:ascii="Arial" w:hAnsi="Arial" w:cs="Arial"/>
          <w:sz w:val="24"/>
          <w:szCs w:val="24"/>
          <w:lang w:val="es-ES"/>
        </w:rPr>
        <w:t>273</w:t>
      </w:r>
      <w:r w:rsidR="000055E9" w:rsidRPr="0094229B">
        <w:rPr>
          <w:rFonts w:ascii="Arial" w:hAnsi="Arial" w:cs="Arial"/>
          <w:sz w:val="24"/>
          <w:szCs w:val="24"/>
          <w:lang w:val="es-ES"/>
        </w:rPr>
        <w:t xml:space="preserve"> asuntos menos que en el 2015</w:t>
      </w:r>
      <w:r w:rsidR="00B32ED3" w:rsidRPr="0094229B">
        <w:rPr>
          <w:rFonts w:ascii="Arial" w:hAnsi="Arial" w:cs="Arial"/>
          <w:sz w:val="24"/>
          <w:szCs w:val="24"/>
          <w:lang w:val="es-ES"/>
        </w:rPr>
        <w:t xml:space="preserve"> </w:t>
      </w:r>
      <w:r w:rsidR="00012CBA" w:rsidRPr="0094229B">
        <w:rPr>
          <w:rFonts w:ascii="Arial" w:hAnsi="Arial" w:cs="Arial"/>
          <w:sz w:val="24"/>
          <w:szCs w:val="24"/>
          <w:lang w:val="es-ES"/>
        </w:rPr>
        <w:t xml:space="preserve">y durante el 2017, se resolvieron </w:t>
      </w:r>
      <w:r w:rsidR="00B17C41" w:rsidRPr="0094229B">
        <w:rPr>
          <w:rFonts w:ascii="Arial" w:hAnsi="Arial" w:cs="Arial"/>
          <w:sz w:val="24"/>
          <w:szCs w:val="24"/>
          <w:lang w:val="es-ES"/>
        </w:rPr>
        <w:t>948</w:t>
      </w:r>
      <w:r w:rsidR="00012CBA" w:rsidRPr="0094229B">
        <w:rPr>
          <w:rFonts w:ascii="Arial" w:hAnsi="Arial" w:cs="Arial"/>
          <w:sz w:val="24"/>
          <w:szCs w:val="24"/>
          <w:lang w:val="es-ES"/>
        </w:rPr>
        <w:t xml:space="preserve"> asuntos, </w:t>
      </w:r>
      <w:r w:rsidR="00B74042" w:rsidRPr="0094229B">
        <w:rPr>
          <w:rFonts w:ascii="Arial" w:hAnsi="Arial" w:cs="Arial"/>
          <w:sz w:val="24"/>
          <w:szCs w:val="24"/>
          <w:lang w:val="es-ES"/>
        </w:rPr>
        <w:t>118</w:t>
      </w:r>
      <w:r w:rsidR="00012CBA" w:rsidRPr="0094229B">
        <w:rPr>
          <w:rFonts w:ascii="Arial" w:hAnsi="Arial" w:cs="Arial"/>
          <w:sz w:val="24"/>
          <w:szCs w:val="24"/>
          <w:lang w:val="es-ES"/>
        </w:rPr>
        <w:t xml:space="preserve"> asuntos menos que en el 2016</w:t>
      </w:r>
      <w:r w:rsidR="000055E9" w:rsidRPr="0094229B">
        <w:rPr>
          <w:rFonts w:ascii="Arial" w:hAnsi="Arial" w:cs="Arial"/>
          <w:sz w:val="24"/>
          <w:szCs w:val="24"/>
          <w:lang w:val="es-ES"/>
        </w:rPr>
        <w:t>.</w:t>
      </w:r>
      <w:r w:rsidR="00FD7584" w:rsidRPr="0094229B">
        <w:rPr>
          <w:rFonts w:ascii="Arial" w:hAnsi="Arial" w:cs="Arial"/>
          <w:sz w:val="24"/>
          <w:szCs w:val="24"/>
          <w:lang w:val="es-ES"/>
        </w:rPr>
        <w:t xml:space="preserve"> </w:t>
      </w:r>
      <w:r w:rsidR="00E31261" w:rsidRPr="0094229B">
        <w:rPr>
          <w:rFonts w:ascii="Arial" w:hAnsi="Arial" w:cs="Arial"/>
          <w:sz w:val="24"/>
          <w:szCs w:val="24"/>
          <w:lang w:val="es-ES"/>
        </w:rPr>
        <w:t>En el año 2018 se resolvieron 741 asuntos, 207 asuntos menos que en el 2017</w:t>
      </w:r>
      <w:r w:rsidR="00B812EC" w:rsidRPr="0094229B">
        <w:rPr>
          <w:rFonts w:ascii="Arial" w:hAnsi="Arial" w:cs="Arial"/>
          <w:sz w:val="24"/>
          <w:szCs w:val="24"/>
          <w:lang w:val="es-ES"/>
        </w:rPr>
        <w:t xml:space="preserve"> y en el 2019 se resuelven el total de 1252 asuntos, 511 asuntos más que en el 2018.</w:t>
      </w:r>
      <w:r w:rsidR="00E31261" w:rsidRPr="0094229B">
        <w:rPr>
          <w:rFonts w:ascii="Arial" w:hAnsi="Arial" w:cs="Arial"/>
          <w:sz w:val="24"/>
          <w:szCs w:val="24"/>
          <w:lang w:val="es-ES"/>
        </w:rPr>
        <w:t xml:space="preserve"> Es hasta el 20</w:t>
      </w:r>
      <w:r w:rsidR="00B812EC" w:rsidRPr="0094229B">
        <w:rPr>
          <w:rFonts w:ascii="Arial" w:hAnsi="Arial" w:cs="Arial"/>
          <w:sz w:val="24"/>
          <w:szCs w:val="24"/>
          <w:lang w:val="es-ES"/>
        </w:rPr>
        <w:t>20</w:t>
      </w:r>
      <w:r w:rsidR="00E31261" w:rsidRPr="0094229B">
        <w:rPr>
          <w:rFonts w:ascii="Arial" w:hAnsi="Arial" w:cs="Arial"/>
          <w:sz w:val="24"/>
          <w:szCs w:val="24"/>
          <w:lang w:val="es-ES"/>
        </w:rPr>
        <w:t xml:space="preserve"> que se resuelven el total de </w:t>
      </w:r>
      <w:r w:rsidR="00B812EC" w:rsidRPr="0094229B">
        <w:rPr>
          <w:rFonts w:ascii="Arial" w:hAnsi="Arial" w:cs="Arial"/>
          <w:sz w:val="24"/>
          <w:szCs w:val="24"/>
          <w:lang w:val="es-ES"/>
        </w:rPr>
        <w:t>1413</w:t>
      </w:r>
      <w:r w:rsidR="00E31261" w:rsidRPr="0094229B">
        <w:rPr>
          <w:rFonts w:ascii="Arial" w:hAnsi="Arial" w:cs="Arial"/>
          <w:sz w:val="24"/>
          <w:szCs w:val="24"/>
          <w:lang w:val="es-ES"/>
        </w:rPr>
        <w:t xml:space="preserve"> asuntos, </w:t>
      </w:r>
      <w:r w:rsidR="00B812EC" w:rsidRPr="0094229B">
        <w:rPr>
          <w:rFonts w:ascii="Arial" w:hAnsi="Arial" w:cs="Arial"/>
          <w:sz w:val="24"/>
          <w:szCs w:val="24"/>
          <w:lang w:val="es-ES"/>
        </w:rPr>
        <w:t>161</w:t>
      </w:r>
      <w:r w:rsidR="00E31261" w:rsidRPr="0094229B">
        <w:rPr>
          <w:rFonts w:ascii="Arial" w:hAnsi="Arial" w:cs="Arial"/>
          <w:sz w:val="24"/>
          <w:szCs w:val="24"/>
          <w:lang w:val="es-ES"/>
        </w:rPr>
        <w:t xml:space="preserve"> asuntos más que en el 201</w:t>
      </w:r>
      <w:r w:rsidR="00B812EC" w:rsidRPr="0094229B">
        <w:rPr>
          <w:rFonts w:ascii="Arial" w:hAnsi="Arial" w:cs="Arial"/>
          <w:sz w:val="24"/>
          <w:szCs w:val="24"/>
          <w:lang w:val="es-ES"/>
        </w:rPr>
        <w:t>9</w:t>
      </w:r>
      <w:r w:rsidR="00E31261" w:rsidRPr="0094229B">
        <w:rPr>
          <w:rFonts w:ascii="Arial" w:hAnsi="Arial" w:cs="Arial"/>
          <w:sz w:val="24"/>
          <w:szCs w:val="24"/>
          <w:lang w:val="es-ES"/>
        </w:rPr>
        <w:t xml:space="preserve">. </w:t>
      </w:r>
    </w:p>
    <w:p w14:paraId="49AEA7F0" w14:textId="7990AD1A" w:rsidR="00E631E3" w:rsidRPr="0094229B" w:rsidRDefault="00EE4120" w:rsidP="002F7058">
      <w:pPr>
        <w:spacing w:line="360" w:lineRule="auto"/>
        <w:ind w:firstLine="708"/>
        <w:jc w:val="both"/>
        <w:rPr>
          <w:rFonts w:ascii="Arial" w:hAnsi="Arial" w:cs="Arial"/>
          <w:sz w:val="24"/>
          <w:szCs w:val="24"/>
          <w:lang w:val="es-ES"/>
        </w:rPr>
      </w:pPr>
      <w:r w:rsidRPr="0094229B">
        <w:rPr>
          <w:rFonts w:ascii="Arial" w:hAnsi="Arial" w:cs="Arial"/>
          <w:sz w:val="24"/>
          <w:szCs w:val="24"/>
          <w:lang w:val="es-ES"/>
        </w:rPr>
        <w:t xml:space="preserve">Por otra parte, en lo relativo </w:t>
      </w:r>
      <w:r w:rsidR="00D96142" w:rsidRPr="0094229B">
        <w:rPr>
          <w:rFonts w:ascii="Arial" w:hAnsi="Arial" w:cs="Arial"/>
          <w:sz w:val="24"/>
          <w:szCs w:val="24"/>
          <w:lang w:val="es-ES"/>
        </w:rPr>
        <w:t xml:space="preserve">a </w:t>
      </w:r>
      <w:r w:rsidR="005B7EA2" w:rsidRPr="0094229B">
        <w:rPr>
          <w:rFonts w:ascii="Arial" w:hAnsi="Arial" w:cs="Arial"/>
          <w:sz w:val="24"/>
          <w:szCs w:val="24"/>
          <w:lang w:val="es-ES"/>
        </w:rPr>
        <w:t xml:space="preserve">las cifras “macro”, </w:t>
      </w:r>
      <w:r w:rsidR="004E1CCF" w:rsidRPr="0094229B">
        <w:rPr>
          <w:rFonts w:ascii="Arial" w:hAnsi="Arial" w:cs="Arial"/>
          <w:sz w:val="24"/>
          <w:szCs w:val="24"/>
          <w:lang w:val="es-ES"/>
        </w:rPr>
        <w:t>se tiene que</w:t>
      </w:r>
      <w:r w:rsidR="001A3C91" w:rsidRPr="0094229B">
        <w:rPr>
          <w:rFonts w:ascii="Arial" w:hAnsi="Arial" w:cs="Arial"/>
          <w:sz w:val="24"/>
          <w:szCs w:val="24"/>
          <w:lang w:val="es-ES"/>
        </w:rPr>
        <w:t xml:space="preserve"> en cuanto al tipo de resoluciones dictadas durante el 20</w:t>
      </w:r>
      <w:r w:rsidR="00B812EC" w:rsidRPr="0094229B">
        <w:rPr>
          <w:rFonts w:ascii="Arial" w:hAnsi="Arial" w:cs="Arial"/>
          <w:sz w:val="24"/>
          <w:szCs w:val="24"/>
          <w:lang w:val="es-ES"/>
        </w:rPr>
        <w:t>20</w:t>
      </w:r>
      <w:r w:rsidR="001A3C91" w:rsidRPr="0094229B">
        <w:rPr>
          <w:rFonts w:ascii="Arial" w:hAnsi="Arial" w:cs="Arial"/>
          <w:sz w:val="24"/>
          <w:szCs w:val="24"/>
          <w:lang w:val="es-ES"/>
        </w:rPr>
        <w:t>,</w:t>
      </w:r>
      <w:r w:rsidR="004E1CCF" w:rsidRPr="0094229B">
        <w:rPr>
          <w:rFonts w:ascii="Arial" w:hAnsi="Arial" w:cs="Arial"/>
          <w:sz w:val="24"/>
          <w:szCs w:val="24"/>
          <w:lang w:val="es-ES"/>
        </w:rPr>
        <w:t xml:space="preserve"> </w:t>
      </w:r>
      <w:r w:rsidR="005B7EA2" w:rsidRPr="0094229B">
        <w:rPr>
          <w:rFonts w:ascii="Arial" w:hAnsi="Arial" w:cs="Arial"/>
          <w:sz w:val="24"/>
          <w:szCs w:val="24"/>
          <w:lang w:val="es-ES"/>
        </w:rPr>
        <w:t xml:space="preserve">un </w:t>
      </w:r>
      <w:r w:rsidR="00B812EC" w:rsidRPr="0094229B">
        <w:rPr>
          <w:rFonts w:ascii="Arial" w:hAnsi="Arial" w:cs="Arial"/>
          <w:sz w:val="24"/>
          <w:szCs w:val="24"/>
          <w:lang w:val="es-ES"/>
        </w:rPr>
        <w:t>10</w:t>
      </w:r>
      <w:r w:rsidR="00BE3EDB" w:rsidRPr="0094229B">
        <w:rPr>
          <w:rFonts w:ascii="Arial" w:hAnsi="Arial" w:cs="Arial"/>
          <w:sz w:val="24"/>
          <w:szCs w:val="24"/>
          <w:lang w:val="es-ES"/>
        </w:rPr>
        <w:t xml:space="preserve">% </w:t>
      </w:r>
      <w:r w:rsidR="00D96142" w:rsidRPr="0094229B">
        <w:rPr>
          <w:rFonts w:ascii="Arial" w:hAnsi="Arial" w:cs="Arial"/>
          <w:sz w:val="24"/>
          <w:szCs w:val="24"/>
          <w:lang w:val="es-ES"/>
        </w:rPr>
        <w:t>de los reclam</w:t>
      </w:r>
      <w:r w:rsidR="002178D5" w:rsidRPr="0094229B">
        <w:rPr>
          <w:rFonts w:ascii="Arial" w:hAnsi="Arial" w:cs="Arial"/>
          <w:sz w:val="24"/>
          <w:szCs w:val="24"/>
          <w:lang w:val="es-ES"/>
        </w:rPr>
        <w:t xml:space="preserve">os fueron declarados con lugar, </w:t>
      </w:r>
      <w:r w:rsidR="00B812EC" w:rsidRPr="0094229B">
        <w:rPr>
          <w:rFonts w:ascii="Arial" w:hAnsi="Arial" w:cs="Arial"/>
          <w:sz w:val="24"/>
          <w:szCs w:val="24"/>
          <w:lang w:val="es-ES"/>
        </w:rPr>
        <w:t>un</w:t>
      </w:r>
      <w:r w:rsidR="003F1664" w:rsidRPr="0094229B">
        <w:rPr>
          <w:rFonts w:ascii="Arial" w:hAnsi="Arial" w:cs="Arial"/>
          <w:sz w:val="24"/>
          <w:szCs w:val="24"/>
          <w:lang w:val="es-ES"/>
        </w:rPr>
        <w:t xml:space="preserve"> </w:t>
      </w:r>
      <w:r w:rsidR="00D96142" w:rsidRPr="0094229B">
        <w:rPr>
          <w:rFonts w:ascii="Arial" w:hAnsi="Arial" w:cs="Arial"/>
          <w:sz w:val="24"/>
          <w:szCs w:val="24"/>
          <w:lang w:val="es-ES"/>
        </w:rPr>
        <w:t xml:space="preserve">punto porcentual </w:t>
      </w:r>
      <w:r w:rsidR="00BE3EDB" w:rsidRPr="0094229B">
        <w:rPr>
          <w:rFonts w:ascii="Arial" w:hAnsi="Arial" w:cs="Arial"/>
          <w:sz w:val="24"/>
          <w:szCs w:val="24"/>
          <w:lang w:val="es-ES"/>
        </w:rPr>
        <w:t>m</w:t>
      </w:r>
      <w:r w:rsidR="00E31261" w:rsidRPr="0094229B">
        <w:rPr>
          <w:rFonts w:ascii="Arial" w:hAnsi="Arial" w:cs="Arial"/>
          <w:sz w:val="24"/>
          <w:szCs w:val="24"/>
          <w:lang w:val="es-ES"/>
        </w:rPr>
        <w:t>ás</w:t>
      </w:r>
      <w:r w:rsidR="00BE3EDB" w:rsidRPr="0094229B">
        <w:rPr>
          <w:rFonts w:ascii="Arial" w:hAnsi="Arial" w:cs="Arial"/>
          <w:sz w:val="24"/>
          <w:szCs w:val="24"/>
          <w:lang w:val="es-ES"/>
        </w:rPr>
        <w:t xml:space="preserve"> </w:t>
      </w:r>
      <w:r w:rsidR="00D96142" w:rsidRPr="0094229B">
        <w:rPr>
          <w:rFonts w:ascii="Arial" w:hAnsi="Arial" w:cs="Arial"/>
          <w:sz w:val="24"/>
          <w:szCs w:val="24"/>
          <w:lang w:val="es-ES"/>
        </w:rPr>
        <w:t>que en el 201</w:t>
      </w:r>
      <w:r w:rsidR="00B812EC" w:rsidRPr="0094229B">
        <w:rPr>
          <w:rFonts w:ascii="Arial" w:hAnsi="Arial" w:cs="Arial"/>
          <w:sz w:val="24"/>
          <w:szCs w:val="24"/>
          <w:lang w:val="es-ES"/>
        </w:rPr>
        <w:t>9</w:t>
      </w:r>
      <w:r w:rsidR="005B7EA2" w:rsidRPr="0094229B">
        <w:rPr>
          <w:rFonts w:ascii="Arial" w:hAnsi="Arial" w:cs="Arial"/>
          <w:sz w:val="24"/>
          <w:szCs w:val="24"/>
          <w:lang w:val="es-ES"/>
        </w:rPr>
        <w:t xml:space="preserve">; un </w:t>
      </w:r>
      <w:r w:rsidR="00E31261" w:rsidRPr="0094229B">
        <w:rPr>
          <w:rFonts w:ascii="Arial" w:hAnsi="Arial" w:cs="Arial"/>
          <w:sz w:val="24"/>
          <w:szCs w:val="24"/>
          <w:lang w:val="es-ES"/>
        </w:rPr>
        <w:t>1</w:t>
      </w:r>
      <w:r w:rsidR="00B812EC" w:rsidRPr="0094229B">
        <w:rPr>
          <w:rFonts w:ascii="Arial" w:hAnsi="Arial" w:cs="Arial"/>
          <w:sz w:val="24"/>
          <w:szCs w:val="24"/>
          <w:lang w:val="es-ES"/>
        </w:rPr>
        <w:t>1</w:t>
      </w:r>
      <w:r w:rsidR="00D96142" w:rsidRPr="0094229B">
        <w:rPr>
          <w:rFonts w:ascii="Arial" w:hAnsi="Arial" w:cs="Arial"/>
          <w:sz w:val="24"/>
          <w:szCs w:val="24"/>
          <w:lang w:val="es-ES"/>
        </w:rPr>
        <w:t>% se declar</w:t>
      </w:r>
      <w:r w:rsidR="001A3C91" w:rsidRPr="0094229B">
        <w:rPr>
          <w:rFonts w:ascii="Arial" w:hAnsi="Arial" w:cs="Arial"/>
          <w:sz w:val="24"/>
          <w:szCs w:val="24"/>
          <w:lang w:val="es-ES"/>
        </w:rPr>
        <w:t>aron</w:t>
      </w:r>
      <w:r w:rsidR="00D96142" w:rsidRPr="0094229B">
        <w:rPr>
          <w:rFonts w:ascii="Arial" w:hAnsi="Arial" w:cs="Arial"/>
          <w:sz w:val="24"/>
          <w:szCs w:val="24"/>
          <w:lang w:val="es-ES"/>
        </w:rPr>
        <w:t xml:space="preserve"> sin lugar, </w:t>
      </w:r>
      <w:r w:rsidR="00B812EC" w:rsidRPr="0094229B">
        <w:rPr>
          <w:rFonts w:ascii="Arial" w:hAnsi="Arial" w:cs="Arial"/>
          <w:sz w:val="24"/>
          <w:szCs w:val="24"/>
          <w:lang w:val="es-ES"/>
        </w:rPr>
        <w:t>dos</w:t>
      </w:r>
      <w:r w:rsidR="00012CBA" w:rsidRPr="0094229B">
        <w:rPr>
          <w:rFonts w:ascii="Arial" w:hAnsi="Arial" w:cs="Arial"/>
          <w:sz w:val="24"/>
          <w:szCs w:val="24"/>
          <w:lang w:val="es-ES"/>
        </w:rPr>
        <w:t xml:space="preserve"> punto</w:t>
      </w:r>
      <w:r w:rsidR="00AB51C4" w:rsidRPr="0094229B">
        <w:rPr>
          <w:rFonts w:ascii="Arial" w:hAnsi="Arial" w:cs="Arial"/>
          <w:sz w:val="24"/>
          <w:szCs w:val="24"/>
          <w:lang w:val="es-ES"/>
        </w:rPr>
        <w:t>s</w:t>
      </w:r>
      <w:r w:rsidR="00012CBA" w:rsidRPr="0094229B">
        <w:rPr>
          <w:rFonts w:ascii="Arial" w:hAnsi="Arial" w:cs="Arial"/>
          <w:sz w:val="24"/>
          <w:szCs w:val="24"/>
          <w:lang w:val="es-ES"/>
        </w:rPr>
        <w:t xml:space="preserve"> porcentual</w:t>
      </w:r>
      <w:r w:rsidR="00AB51C4" w:rsidRPr="0094229B">
        <w:rPr>
          <w:rFonts w:ascii="Arial" w:hAnsi="Arial" w:cs="Arial"/>
          <w:sz w:val="24"/>
          <w:szCs w:val="24"/>
          <w:lang w:val="es-ES"/>
        </w:rPr>
        <w:t>es</w:t>
      </w:r>
      <w:r w:rsidR="00012CBA" w:rsidRPr="0094229B">
        <w:rPr>
          <w:rFonts w:ascii="Arial" w:hAnsi="Arial" w:cs="Arial"/>
          <w:sz w:val="24"/>
          <w:szCs w:val="24"/>
          <w:lang w:val="es-ES"/>
        </w:rPr>
        <w:t xml:space="preserve"> </w:t>
      </w:r>
      <w:r w:rsidR="00B812EC" w:rsidRPr="0094229B">
        <w:rPr>
          <w:rFonts w:ascii="Arial" w:hAnsi="Arial" w:cs="Arial"/>
          <w:sz w:val="24"/>
          <w:szCs w:val="24"/>
          <w:lang w:val="es-ES"/>
        </w:rPr>
        <w:t>menos</w:t>
      </w:r>
      <w:r w:rsidR="003F1664" w:rsidRPr="0094229B">
        <w:rPr>
          <w:rFonts w:ascii="Arial" w:hAnsi="Arial" w:cs="Arial"/>
          <w:sz w:val="24"/>
          <w:szCs w:val="24"/>
          <w:lang w:val="es-ES"/>
        </w:rPr>
        <w:t xml:space="preserve"> </w:t>
      </w:r>
      <w:r w:rsidR="00D96142" w:rsidRPr="0094229B">
        <w:rPr>
          <w:rFonts w:ascii="Arial" w:hAnsi="Arial" w:cs="Arial"/>
          <w:sz w:val="24"/>
          <w:szCs w:val="24"/>
          <w:lang w:val="es-ES"/>
        </w:rPr>
        <w:t>que en el 201</w:t>
      </w:r>
      <w:r w:rsidR="00B812EC" w:rsidRPr="0094229B">
        <w:rPr>
          <w:rFonts w:ascii="Arial" w:hAnsi="Arial" w:cs="Arial"/>
          <w:sz w:val="24"/>
          <w:szCs w:val="24"/>
          <w:lang w:val="es-ES"/>
        </w:rPr>
        <w:t>9</w:t>
      </w:r>
      <w:r w:rsidR="001A3C91" w:rsidRPr="0094229B">
        <w:rPr>
          <w:rFonts w:ascii="Arial" w:hAnsi="Arial" w:cs="Arial"/>
          <w:sz w:val="24"/>
          <w:szCs w:val="24"/>
          <w:lang w:val="es-ES"/>
        </w:rPr>
        <w:t>;</w:t>
      </w:r>
      <w:r w:rsidR="005B7EA2" w:rsidRPr="0094229B">
        <w:rPr>
          <w:rFonts w:ascii="Arial" w:hAnsi="Arial" w:cs="Arial"/>
          <w:sz w:val="24"/>
          <w:szCs w:val="24"/>
          <w:lang w:val="es-ES"/>
        </w:rPr>
        <w:t xml:space="preserve"> un </w:t>
      </w:r>
      <w:r w:rsidR="00B812EC" w:rsidRPr="0094229B">
        <w:rPr>
          <w:rFonts w:ascii="Arial" w:hAnsi="Arial" w:cs="Arial"/>
          <w:sz w:val="24"/>
          <w:szCs w:val="24"/>
          <w:lang w:val="es-ES"/>
        </w:rPr>
        <w:t>61</w:t>
      </w:r>
      <w:r w:rsidR="00285939" w:rsidRPr="0094229B">
        <w:rPr>
          <w:rFonts w:ascii="Arial" w:hAnsi="Arial" w:cs="Arial"/>
          <w:sz w:val="24"/>
          <w:szCs w:val="24"/>
          <w:lang w:val="es-ES"/>
        </w:rPr>
        <w:t xml:space="preserve">% </w:t>
      </w:r>
      <w:r w:rsidR="003F1664" w:rsidRPr="0094229B">
        <w:rPr>
          <w:rFonts w:ascii="Arial" w:hAnsi="Arial" w:cs="Arial"/>
          <w:sz w:val="24"/>
          <w:szCs w:val="24"/>
          <w:lang w:val="es-ES"/>
        </w:rPr>
        <w:t>fue</w:t>
      </w:r>
      <w:r w:rsidR="00C677D4" w:rsidRPr="0094229B">
        <w:rPr>
          <w:rFonts w:ascii="Arial" w:hAnsi="Arial" w:cs="Arial"/>
          <w:sz w:val="24"/>
          <w:szCs w:val="24"/>
          <w:lang w:val="es-ES"/>
        </w:rPr>
        <w:t>ron declarad</w:t>
      </w:r>
      <w:r w:rsidR="001A3C91" w:rsidRPr="0094229B">
        <w:rPr>
          <w:rFonts w:ascii="Arial" w:hAnsi="Arial" w:cs="Arial"/>
          <w:sz w:val="24"/>
          <w:szCs w:val="24"/>
          <w:lang w:val="es-ES"/>
        </w:rPr>
        <w:t>a</w:t>
      </w:r>
      <w:r w:rsidR="00C677D4" w:rsidRPr="0094229B">
        <w:rPr>
          <w:rFonts w:ascii="Arial" w:hAnsi="Arial" w:cs="Arial"/>
          <w:sz w:val="24"/>
          <w:szCs w:val="24"/>
          <w:lang w:val="es-ES"/>
        </w:rPr>
        <w:t xml:space="preserve">s </w:t>
      </w:r>
      <w:r w:rsidR="00402526" w:rsidRPr="0094229B">
        <w:rPr>
          <w:rFonts w:ascii="Arial" w:hAnsi="Arial" w:cs="Arial"/>
          <w:sz w:val="24"/>
          <w:szCs w:val="24"/>
          <w:lang w:val="es-ES"/>
        </w:rPr>
        <w:t>inadmisib</w:t>
      </w:r>
      <w:r w:rsidR="00C677D4" w:rsidRPr="0094229B">
        <w:rPr>
          <w:rFonts w:ascii="Arial" w:hAnsi="Arial" w:cs="Arial"/>
          <w:sz w:val="24"/>
          <w:szCs w:val="24"/>
          <w:lang w:val="es-ES"/>
        </w:rPr>
        <w:t>les</w:t>
      </w:r>
      <w:r w:rsidR="00402526" w:rsidRPr="0094229B">
        <w:rPr>
          <w:rFonts w:ascii="Arial" w:hAnsi="Arial" w:cs="Arial"/>
          <w:sz w:val="24"/>
          <w:szCs w:val="24"/>
          <w:lang w:val="es-ES"/>
        </w:rPr>
        <w:t xml:space="preserve">, </w:t>
      </w:r>
      <w:r w:rsidR="00B812EC" w:rsidRPr="0094229B">
        <w:rPr>
          <w:rFonts w:ascii="Arial" w:hAnsi="Arial" w:cs="Arial"/>
          <w:sz w:val="24"/>
          <w:szCs w:val="24"/>
          <w:lang w:val="es-ES"/>
        </w:rPr>
        <w:t>cinco</w:t>
      </w:r>
      <w:r w:rsidR="003F1664" w:rsidRPr="0094229B">
        <w:rPr>
          <w:rFonts w:ascii="Arial" w:hAnsi="Arial" w:cs="Arial"/>
          <w:sz w:val="24"/>
          <w:szCs w:val="24"/>
          <w:lang w:val="es-ES"/>
        </w:rPr>
        <w:t xml:space="preserve"> </w:t>
      </w:r>
      <w:r w:rsidR="00402526" w:rsidRPr="0094229B">
        <w:rPr>
          <w:rFonts w:ascii="Arial" w:hAnsi="Arial" w:cs="Arial"/>
          <w:sz w:val="24"/>
          <w:szCs w:val="24"/>
          <w:lang w:val="es-ES"/>
        </w:rPr>
        <w:t>puntos porcentuales m</w:t>
      </w:r>
      <w:r w:rsidR="00AB51C4" w:rsidRPr="0094229B">
        <w:rPr>
          <w:rFonts w:ascii="Arial" w:hAnsi="Arial" w:cs="Arial"/>
          <w:sz w:val="24"/>
          <w:szCs w:val="24"/>
          <w:lang w:val="es-ES"/>
        </w:rPr>
        <w:t>enos</w:t>
      </w:r>
      <w:r w:rsidR="00402526" w:rsidRPr="0094229B">
        <w:rPr>
          <w:rFonts w:ascii="Arial" w:hAnsi="Arial" w:cs="Arial"/>
          <w:sz w:val="24"/>
          <w:szCs w:val="24"/>
          <w:lang w:val="es-ES"/>
        </w:rPr>
        <w:t xml:space="preserve"> que en el </w:t>
      </w:r>
      <w:r w:rsidR="00C677D4" w:rsidRPr="0094229B">
        <w:rPr>
          <w:rFonts w:ascii="Arial" w:hAnsi="Arial" w:cs="Arial"/>
          <w:sz w:val="24"/>
          <w:szCs w:val="24"/>
          <w:lang w:val="es-ES"/>
        </w:rPr>
        <w:t xml:space="preserve">año </w:t>
      </w:r>
      <w:r w:rsidR="00402526" w:rsidRPr="0094229B">
        <w:rPr>
          <w:rFonts w:ascii="Arial" w:hAnsi="Arial" w:cs="Arial"/>
          <w:sz w:val="24"/>
          <w:szCs w:val="24"/>
          <w:lang w:val="es-ES"/>
        </w:rPr>
        <w:t>201</w:t>
      </w:r>
      <w:r w:rsidR="00B812EC" w:rsidRPr="0094229B">
        <w:rPr>
          <w:rFonts w:ascii="Arial" w:hAnsi="Arial" w:cs="Arial"/>
          <w:sz w:val="24"/>
          <w:szCs w:val="24"/>
          <w:lang w:val="es-ES"/>
        </w:rPr>
        <w:t>9</w:t>
      </w:r>
      <w:r w:rsidR="00CF0AA3" w:rsidRPr="0094229B">
        <w:rPr>
          <w:rFonts w:ascii="Arial" w:hAnsi="Arial" w:cs="Arial"/>
          <w:sz w:val="24"/>
          <w:szCs w:val="24"/>
          <w:lang w:val="es-ES"/>
        </w:rPr>
        <w:t xml:space="preserve"> y en </w:t>
      </w:r>
      <w:r w:rsidR="001A3C91" w:rsidRPr="0094229B">
        <w:rPr>
          <w:rFonts w:ascii="Arial" w:hAnsi="Arial" w:cs="Arial"/>
          <w:sz w:val="24"/>
          <w:szCs w:val="24"/>
          <w:lang w:val="es-ES"/>
        </w:rPr>
        <w:t>“</w:t>
      </w:r>
      <w:r w:rsidR="00CF0AA3" w:rsidRPr="0094229B">
        <w:rPr>
          <w:rFonts w:ascii="Arial" w:hAnsi="Arial" w:cs="Arial"/>
          <w:sz w:val="24"/>
          <w:szCs w:val="24"/>
          <w:lang w:val="es-ES"/>
        </w:rPr>
        <w:t>otro tipo de resolución</w:t>
      </w:r>
      <w:r w:rsidR="001A3C91" w:rsidRPr="0094229B">
        <w:rPr>
          <w:rFonts w:ascii="Arial" w:hAnsi="Arial" w:cs="Arial"/>
          <w:sz w:val="24"/>
          <w:szCs w:val="24"/>
          <w:lang w:val="es-ES"/>
        </w:rPr>
        <w:t>”</w:t>
      </w:r>
      <w:r w:rsidR="00CF0AA3" w:rsidRPr="0094229B">
        <w:rPr>
          <w:rFonts w:ascii="Arial" w:hAnsi="Arial" w:cs="Arial"/>
          <w:sz w:val="24"/>
          <w:szCs w:val="24"/>
          <w:lang w:val="es-ES"/>
        </w:rPr>
        <w:t xml:space="preserve"> se obtuvo un 1</w:t>
      </w:r>
      <w:r w:rsidR="00B812EC" w:rsidRPr="0094229B">
        <w:rPr>
          <w:rFonts w:ascii="Arial" w:hAnsi="Arial" w:cs="Arial"/>
          <w:sz w:val="24"/>
          <w:szCs w:val="24"/>
          <w:lang w:val="es-ES"/>
        </w:rPr>
        <w:t>8</w:t>
      </w:r>
      <w:r w:rsidR="00CF0AA3" w:rsidRPr="0094229B">
        <w:rPr>
          <w:rFonts w:ascii="Arial" w:hAnsi="Arial" w:cs="Arial"/>
          <w:sz w:val="24"/>
          <w:szCs w:val="24"/>
          <w:lang w:val="es-ES"/>
        </w:rPr>
        <w:t>%</w:t>
      </w:r>
      <w:r w:rsidR="001A3C91" w:rsidRPr="0094229B">
        <w:rPr>
          <w:rFonts w:ascii="Arial" w:hAnsi="Arial" w:cs="Arial"/>
          <w:sz w:val="24"/>
          <w:szCs w:val="24"/>
          <w:lang w:val="es-ES"/>
        </w:rPr>
        <w:t xml:space="preserve">, </w:t>
      </w:r>
      <w:r w:rsidR="006B2822" w:rsidRPr="0094229B">
        <w:rPr>
          <w:rFonts w:ascii="Arial" w:hAnsi="Arial" w:cs="Arial"/>
          <w:sz w:val="24"/>
          <w:szCs w:val="24"/>
          <w:lang w:val="es-ES"/>
        </w:rPr>
        <w:t xml:space="preserve">sea </w:t>
      </w:r>
      <w:r w:rsidR="00B812EC" w:rsidRPr="0094229B">
        <w:rPr>
          <w:rFonts w:ascii="Arial" w:hAnsi="Arial" w:cs="Arial"/>
          <w:sz w:val="24"/>
          <w:szCs w:val="24"/>
          <w:lang w:val="es-ES"/>
        </w:rPr>
        <w:t>seis</w:t>
      </w:r>
      <w:r w:rsidR="001A3C91" w:rsidRPr="0094229B">
        <w:rPr>
          <w:rFonts w:ascii="Arial" w:hAnsi="Arial" w:cs="Arial"/>
          <w:sz w:val="24"/>
          <w:szCs w:val="24"/>
          <w:lang w:val="es-ES"/>
        </w:rPr>
        <w:t xml:space="preserve"> punto</w:t>
      </w:r>
      <w:r w:rsidR="00AB51C4" w:rsidRPr="0094229B">
        <w:rPr>
          <w:rFonts w:ascii="Arial" w:hAnsi="Arial" w:cs="Arial"/>
          <w:sz w:val="24"/>
          <w:szCs w:val="24"/>
          <w:lang w:val="es-ES"/>
        </w:rPr>
        <w:t>s</w:t>
      </w:r>
      <w:r w:rsidR="001A3C91" w:rsidRPr="0094229B">
        <w:rPr>
          <w:rFonts w:ascii="Arial" w:hAnsi="Arial" w:cs="Arial"/>
          <w:sz w:val="24"/>
          <w:szCs w:val="24"/>
          <w:lang w:val="es-ES"/>
        </w:rPr>
        <w:t xml:space="preserve"> porcentual</w:t>
      </w:r>
      <w:r w:rsidR="00AB51C4" w:rsidRPr="0094229B">
        <w:rPr>
          <w:rFonts w:ascii="Arial" w:hAnsi="Arial" w:cs="Arial"/>
          <w:sz w:val="24"/>
          <w:szCs w:val="24"/>
          <w:lang w:val="es-ES"/>
        </w:rPr>
        <w:t>es</w:t>
      </w:r>
      <w:r w:rsidR="00CF0AA3" w:rsidRPr="0094229B">
        <w:rPr>
          <w:rFonts w:ascii="Arial" w:hAnsi="Arial" w:cs="Arial"/>
          <w:sz w:val="24"/>
          <w:szCs w:val="24"/>
          <w:lang w:val="es-ES"/>
        </w:rPr>
        <w:t xml:space="preserve"> </w:t>
      </w:r>
      <w:r w:rsidR="00B812EC" w:rsidRPr="0094229B">
        <w:rPr>
          <w:rFonts w:ascii="Arial" w:hAnsi="Arial" w:cs="Arial"/>
          <w:sz w:val="24"/>
          <w:szCs w:val="24"/>
          <w:lang w:val="es-ES"/>
        </w:rPr>
        <w:t>más</w:t>
      </w:r>
      <w:r w:rsidR="001A3C91" w:rsidRPr="0094229B">
        <w:rPr>
          <w:rFonts w:ascii="Arial" w:hAnsi="Arial" w:cs="Arial"/>
          <w:sz w:val="24"/>
          <w:szCs w:val="24"/>
          <w:lang w:val="es-ES"/>
        </w:rPr>
        <w:t xml:space="preserve"> que el obtenido</w:t>
      </w:r>
      <w:r w:rsidR="00CF0AA3" w:rsidRPr="0094229B">
        <w:rPr>
          <w:rFonts w:ascii="Arial" w:hAnsi="Arial" w:cs="Arial"/>
          <w:sz w:val="24"/>
          <w:szCs w:val="24"/>
          <w:lang w:val="es-ES"/>
        </w:rPr>
        <w:t xml:space="preserve"> en relación con el año 201</w:t>
      </w:r>
      <w:r w:rsidR="00B812EC" w:rsidRPr="0094229B">
        <w:rPr>
          <w:rFonts w:ascii="Arial" w:hAnsi="Arial" w:cs="Arial"/>
          <w:sz w:val="24"/>
          <w:szCs w:val="24"/>
          <w:lang w:val="es-ES"/>
        </w:rPr>
        <w:t>9</w:t>
      </w:r>
      <w:r w:rsidR="00CF0AA3" w:rsidRPr="0094229B">
        <w:rPr>
          <w:rFonts w:ascii="Arial" w:hAnsi="Arial" w:cs="Arial"/>
          <w:sz w:val="24"/>
          <w:szCs w:val="24"/>
          <w:lang w:val="es-ES"/>
        </w:rPr>
        <w:t>.</w:t>
      </w:r>
    </w:p>
    <w:p w14:paraId="1F86A6DB" w14:textId="77777777" w:rsidR="0088140B" w:rsidRPr="0094229B" w:rsidRDefault="0088140B" w:rsidP="002F7058">
      <w:pPr>
        <w:pStyle w:val="Prrafodelista"/>
        <w:spacing w:line="360" w:lineRule="auto"/>
        <w:ind w:left="0"/>
        <w:jc w:val="both"/>
        <w:rPr>
          <w:rFonts w:ascii="Arial" w:hAnsi="Arial" w:cs="Arial"/>
          <w:sz w:val="24"/>
          <w:szCs w:val="24"/>
          <w:lang w:val="es-ES"/>
        </w:rPr>
      </w:pPr>
    </w:p>
    <w:p w14:paraId="26E2E348" w14:textId="77777777" w:rsidR="00B812EC" w:rsidRDefault="00B812EC" w:rsidP="0094229B">
      <w:pPr>
        <w:pStyle w:val="western"/>
        <w:spacing w:after="0" w:line="360" w:lineRule="auto"/>
        <w:jc w:val="both"/>
      </w:pPr>
      <w:r>
        <w:rPr>
          <w:rFonts w:ascii="Arial" w:hAnsi="Arial" w:cs="Arial"/>
          <w:sz w:val="24"/>
          <w:szCs w:val="24"/>
        </w:rPr>
        <w:lastRenderedPageBreak/>
        <w:t>En cuanto a las actividades de capacitación y proyección, durante el año 2020 se contó con varios cursos, a manera de ejemplo el curso “</w:t>
      </w:r>
      <w:r>
        <w:rPr>
          <w:rFonts w:ascii="Arial" w:hAnsi="Arial" w:cs="Arial"/>
          <w:i/>
          <w:iCs/>
          <w:sz w:val="24"/>
          <w:szCs w:val="24"/>
        </w:rPr>
        <w:t>Ciber delincuencia en el mundo globalizado, retos para la administración de la justicia penal</w:t>
      </w:r>
      <w:r>
        <w:rPr>
          <w:rFonts w:ascii="Arial" w:hAnsi="Arial" w:cs="Arial"/>
          <w:sz w:val="24"/>
          <w:szCs w:val="24"/>
        </w:rPr>
        <w:t xml:space="preserve">”, y capacitaciones virtuales, dirigidas a toda la población judicial, de gran interés la que se coordinó con la Dirección de Tecnología de la Información la charla Seguridad de la Información, de la cual se ha coordinado una campaña con el Departamento de Prensa y Comunicación Organizacional, en la que se divulgan las políticas y lineamientos asociados de seguridad de la información del Poder Judicial. </w:t>
      </w:r>
    </w:p>
    <w:p w14:paraId="40BB4502" w14:textId="001DF6B8" w:rsidR="00B64456" w:rsidRPr="0094229B" w:rsidRDefault="00B64456" w:rsidP="002F7058">
      <w:pPr>
        <w:spacing w:line="360" w:lineRule="auto"/>
        <w:ind w:firstLine="708"/>
        <w:jc w:val="both"/>
        <w:rPr>
          <w:rFonts w:ascii="Arial" w:hAnsi="Arial" w:cs="Arial"/>
          <w:sz w:val="24"/>
          <w:szCs w:val="24"/>
        </w:rPr>
      </w:pPr>
      <w:r w:rsidRPr="0094229B">
        <w:rPr>
          <w:rFonts w:ascii="Arial" w:hAnsi="Arial" w:cs="Arial"/>
          <w:sz w:val="24"/>
          <w:szCs w:val="24"/>
          <w:lang w:val="es-ES"/>
        </w:rPr>
        <w:t xml:space="preserve">La Sala de Casación Penal también debió atender los informes solicitados por la Sala Constitucional; es así, como se resolvieron en total </w:t>
      </w:r>
      <w:r w:rsidR="0094229B" w:rsidRPr="0094229B">
        <w:rPr>
          <w:rFonts w:ascii="Arial" w:hAnsi="Arial" w:cs="Arial"/>
          <w:sz w:val="24"/>
          <w:szCs w:val="24"/>
          <w:lang w:val="es-ES"/>
        </w:rPr>
        <w:t>catorce</w:t>
      </w:r>
      <w:r w:rsidRPr="0094229B">
        <w:rPr>
          <w:rFonts w:ascii="Arial" w:hAnsi="Arial" w:cs="Arial"/>
          <w:sz w:val="24"/>
          <w:szCs w:val="24"/>
          <w:lang w:val="es-ES"/>
        </w:rPr>
        <w:t xml:space="preserve"> informes relativos a recursos de habeas corpus</w:t>
      </w:r>
      <w:r w:rsidR="00B812EC" w:rsidRPr="0094229B">
        <w:rPr>
          <w:rFonts w:ascii="Arial" w:hAnsi="Arial" w:cs="Arial"/>
          <w:sz w:val="24"/>
          <w:szCs w:val="24"/>
          <w:lang w:val="es-ES"/>
        </w:rPr>
        <w:t xml:space="preserve"> y un Recurso de Amparo</w:t>
      </w:r>
      <w:r w:rsidRPr="0094229B">
        <w:rPr>
          <w:rFonts w:ascii="Arial" w:hAnsi="Arial" w:cs="Arial"/>
          <w:sz w:val="24"/>
          <w:szCs w:val="24"/>
          <w:lang w:val="es-ES"/>
        </w:rPr>
        <w:t xml:space="preserve">, de ellos </w:t>
      </w:r>
      <w:r w:rsidR="0094229B" w:rsidRPr="0094229B">
        <w:rPr>
          <w:rFonts w:ascii="Arial" w:hAnsi="Arial" w:cs="Arial"/>
          <w:sz w:val="24"/>
          <w:szCs w:val="24"/>
          <w:lang w:val="es-ES"/>
        </w:rPr>
        <w:t xml:space="preserve">catorce </w:t>
      </w:r>
      <w:r w:rsidRPr="0094229B">
        <w:rPr>
          <w:rFonts w:ascii="Arial" w:hAnsi="Arial" w:cs="Arial"/>
          <w:sz w:val="24"/>
          <w:szCs w:val="24"/>
          <w:lang w:val="es-ES"/>
        </w:rPr>
        <w:t xml:space="preserve">fueron declarados sin lugar y uno parcialmente con lugar, pero no por la actuación de esta Sala de </w:t>
      </w:r>
      <w:r w:rsidR="00D85379" w:rsidRPr="0094229B">
        <w:rPr>
          <w:rFonts w:ascii="Arial" w:hAnsi="Arial" w:cs="Arial"/>
          <w:sz w:val="24"/>
          <w:szCs w:val="24"/>
          <w:lang w:val="es-ES"/>
        </w:rPr>
        <w:t>C</w:t>
      </w:r>
      <w:r w:rsidRPr="0094229B">
        <w:rPr>
          <w:rFonts w:ascii="Arial" w:hAnsi="Arial" w:cs="Arial"/>
          <w:sz w:val="24"/>
          <w:szCs w:val="24"/>
          <w:lang w:val="es-ES"/>
        </w:rPr>
        <w:t>asación</w:t>
      </w:r>
      <w:r w:rsidRPr="0094229B">
        <w:rPr>
          <w:rStyle w:val="Refdenotaalpie"/>
          <w:rFonts w:ascii="Arial" w:hAnsi="Arial" w:cs="Arial"/>
          <w:sz w:val="24"/>
          <w:szCs w:val="24"/>
          <w:lang w:val="es-ES"/>
        </w:rPr>
        <w:footnoteReference w:id="1"/>
      </w:r>
      <w:r w:rsidRPr="0094229B">
        <w:rPr>
          <w:rFonts w:ascii="Arial" w:hAnsi="Arial" w:cs="Arial"/>
          <w:sz w:val="24"/>
          <w:szCs w:val="24"/>
          <w:lang w:val="es-ES"/>
        </w:rPr>
        <w:t>.</w:t>
      </w:r>
    </w:p>
    <w:p w14:paraId="73F1B70D" w14:textId="15790B46" w:rsidR="00451E8F" w:rsidRPr="00BB53C0" w:rsidRDefault="000370FD" w:rsidP="002F7058">
      <w:pPr>
        <w:spacing w:line="360" w:lineRule="auto"/>
        <w:ind w:firstLine="708"/>
        <w:jc w:val="both"/>
        <w:rPr>
          <w:rFonts w:ascii="Arial" w:hAnsi="Arial" w:cs="Arial"/>
          <w:sz w:val="24"/>
          <w:szCs w:val="24"/>
          <w:lang w:val="es-ES"/>
        </w:rPr>
      </w:pPr>
      <w:r w:rsidRPr="0094229B">
        <w:rPr>
          <w:rFonts w:ascii="Arial" w:hAnsi="Arial" w:cs="Arial"/>
          <w:sz w:val="24"/>
          <w:szCs w:val="24"/>
          <w:lang w:val="es-ES"/>
        </w:rPr>
        <w:t xml:space="preserve">En cuanto a </w:t>
      </w:r>
      <w:r w:rsidR="001877AE" w:rsidRPr="0094229B">
        <w:rPr>
          <w:rFonts w:ascii="Arial" w:hAnsi="Arial" w:cs="Arial"/>
          <w:sz w:val="24"/>
          <w:szCs w:val="24"/>
          <w:lang w:val="es-ES"/>
        </w:rPr>
        <w:t>la Comisión de</w:t>
      </w:r>
      <w:r w:rsidR="003D614C" w:rsidRPr="0094229B">
        <w:rPr>
          <w:rFonts w:ascii="Arial" w:hAnsi="Arial" w:cs="Arial"/>
          <w:sz w:val="24"/>
          <w:szCs w:val="24"/>
          <w:lang w:val="es-ES"/>
        </w:rPr>
        <w:t xml:space="preserve"> la Jurisdicción</w:t>
      </w:r>
      <w:r w:rsidR="001877AE" w:rsidRPr="0094229B">
        <w:rPr>
          <w:rFonts w:ascii="Arial" w:hAnsi="Arial" w:cs="Arial"/>
          <w:sz w:val="24"/>
          <w:szCs w:val="24"/>
          <w:lang w:val="es-ES"/>
        </w:rPr>
        <w:t xml:space="preserve"> Penal, </w:t>
      </w:r>
      <w:r w:rsidR="00E10BD3" w:rsidRPr="0094229B">
        <w:rPr>
          <w:rFonts w:ascii="Arial" w:hAnsi="Arial" w:cs="Arial"/>
          <w:sz w:val="24"/>
          <w:szCs w:val="24"/>
          <w:lang w:val="es-ES"/>
        </w:rPr>
        <w:t>durante</w:t>
      </w:r>
      <w:r w:rsidRPr="0094229B">
        <w:rPr>
          <w:rFonts w:ascii="Arial" w:hAnsi="Arial" w:cs="Arial"/>
          <w:sz w:val="24"/>
          <w:szCs w:val="24"/>
          <w:lang w:val="es-ES"/>
        </w:rPr>
        <w:t xml:space="preserve"> el período 20</w:t>
      </w:r>
      <w:r w:rsidR="0094229B" w:rsidRPr="0094229B">
        <w:rPr>
          <w:rFonts w:ascii="Arial" w:hAnsi="Arial" w:cs="Arial"/>
          <w:sz w:val="24"/>
          <w:szCs w:val="24"/>
          <w:lang w:val="es-ES"/>
        </w:rPr>
        <w:t>20</w:t>
      </w:r>
      <w:r w:rsidRPr="0094229B">
        <w:rPr>
          <w:rFonts w:ascii="Arial" w:hAnsi="Arial" w:cs="Arial"/>
          <w:sz w:val="24"/>
          <w:szCs w:val="24"/>
          <w:lang w:val="es-ES"/>
        </w:rPr>
        <w:t xml:space="preserve"> se</w:t>
      </w:r>
      <w:r w:rsidR="00451E8F" w:rsidRPr="0094229B">
        <w:rPr>
          <w:rFonts w:ascii="Arial" w:hAnsi="Arial" w:cs="Arial"/>
          <w:sz w:val="24"/>
          <w:szCs w:val="24"/>
          <w:lang w:val="es-ES"/>
        </w:rPr>
        <w:t xml:space="preserve"> recibieron un total de </w:t>
      </w:r>
      <w:r w:rsidR="0094229B" w:rsidRPr="0094229B">
        <w:rPr>
          <w:rFonts w:ascii="Arial" w:hAnsi="Arial" w:cs="Arial"/>
          <w:sz w:val="24"/>
          <w:szCs w:val="24"/>
          <w:lang w:val="es-ES"/>
        </w:rPr>
        <w:t>279</w:t>
      </w:r>
      <w:r w:rsidR="00451E8F" w:rsidRPr="0094229B">
        <w:rPr>
          <w:rFonts w:ascii="Arial" w:hAnsi="Arial" w:cs="Arial"/>
          <w:sz w:val="24"/>
          <w:szCs w:val="24"/>
          <w:lang w:val="es-ES"/>
        </w:rPr>
        <w:t xml:space="preserve"> consultas, </w:t>
      </w:r>
      <w:r w:rsidR="0094229B" w:rsidRPr="0094229B">
        <w:rPr>
          <w:rFonts w:ascii="Arial" w:hAnsi="Arial" w:cs="Arial"/>
          <w:sz w:val="24"/>
          <w:szCs w:val="24"/>
          <w:lang w:val="es-ES"/>
        </w:rPr>
        <w:t>y se resolvieron un total de 298 (consultas pendientes de 2019 y 2020)</w:t>
      </w:r>
      <w:r w:rsidR="00E10BD3" w:rsidRPr="0094229B">
        <w:rPr>
          <w:rFonts w:ascii="Arial" w:hAnsi="Arial" w:cs="Arial"/>
          <w:sz w:val="24"/>
          <w:szCs w:val="24"/>
          <w:lang w:val="es-ES"/>
        </w:rPr>
        <w:t>,</w:t>
      </w:r>
      <w:r w:rsidR="00996343" w:rsidRPr="0094229B">
        <w:rPr>
          <w:rFonts w:ascii="Arial" w:hAnsi="Arial" w:cs="Arial"/>
          <w:sz w:val="24"/>
          <w:szCs w:val="24"/>
          <w:lang w:val="es-ES"/>
        </w:rPr>
        <w:t xml:space="preserve"> mediante dict</w:t>
      </w:r>
      <w:r w:rsidR="00E10BD3" w:rsidRPr="0094229B">
        <w:rPr>
          <w:rFonts w:ascii="Arial" w:hAnsi="Arial" w:cs="Arial"/>
          <w:sz w:val="24"/>
          <w:szCs w:val="24"/>
          <w:lang w:val="es-ES"/>
        </w:rPr>
        <w:t>ámenes</w:t>
      </w:r>
      <w:r w:rsidR="00996343" w:rsidRPr="0094229B">
        <w:rPr>
          <w:rFonts w:ascii="Arial" w:hAnsi="Arial" w:cs="Arial"/>
          <w:sz w:val="24"/>
          <w:szCs w:val="24"/>
          <w:lang w:val="es-ES"/>
        </w:rPr>
        <w:t xml:space="preserve"> y</w:t>
      </w:r>
      <w:r w:rsidR="00451E8F" w:rsidRPr="0094229B">
        <w:rPr>
          <w:rFonts w:ascii="Arial" w:hAnsi="Arial" w:cs="Arial"/>
          <w:sz w:val="24"/>
          <w:szCs w:val="24"/>
          <w:lang w:val="es-ES"/>
        </w:rPr>
        <w:t xml:space="preserve"> las restantes </w:t>
      </w:r>
      <w:r w:rsidR="00996343" w:rsidRPr="0094229B">
        <w:rPr>
          <w:rFonts w:ascii="Arial" w:hAnsi="Arial" w:cs="Arial"/>
          <w:sz w:val="24"/>
          <w:szCs w:val="24"/>
          <w:lang w:val="es-ES"/>
        </w:rPr>
        <w:t xml:space="preserve">se resolvieron </w:t>
      </w:r>
      <w:r w:rsidR="00E10BD3" w:rsidRPr="0094229B">
        <w:rPr>
          <w:rFonts w:ascii="Arial" w:hAnsi="Arial" w:cs="Arial"/>
          <w:sz w:val="24"/>
          <w:szCs w:val="24"/>
          <w:lang w:val="es-ES"/>
        </w:rPr>
        <w:t xml:space="preserve">a través de </w:t>
      </w:r>
      <w:r w:rsidR="00451E8F" w:rsidRPr="0094229B">
        <w:rPr>
          <w:rFonts w:ascii="Arial" w:hAnsi="Arial" w:cs="Arial"/>
          <w:sz w:val="24"/>
          <w:szCs w:val="24"/>
          <w:lang w:val="es-ES"/>
        </w:rPr>
        <w:t>documentos que por su naturaleza no requieren del proceso consultivo, pues son asuntos administrativos.</w:t>
      </w:r>
      <w:r w:rsidR="00451E8F" w:rsidRPr="00BB53C0">
        <w:rPr>
          <w:rFonts w:ascii="Arial" w:hAnsi="Arial" w:cs="Arial"/>
          <w:sz w:val="24"/>
          <w:szCs w:val="24"/>
          <w:lang w:val="es-ES"/>
        </w:rPr>
        <w:t xml:space="preserve"> </w:t>
      </w:r>
    </w:p>
    <w:p w14:paraId="2A49130F" w14:textId="46B70A02" w:rsidR="00E512C8" w:rsidRPr="00BB53C0" w:rsidRDefault="00E512C8" w:rsidP="002A12BB">
      <w:pPr>
        <w:spacing w:after="240" w:line="360" w:lineRule="auto"/>
        <w:jc w:val="both"/>
        <w:rPr>
          <w:rFonts w:ascii="Arial" w:hAnsi="Arial" w:cs="Arial"/>
          <w:sz w:val="24"/>
          <w:szCs w:val="24"/>
        </w:rPr>
      </w:pPr>
    </w:p>
    <w:p w14:paraId="506CE371" w14:textId="791D5A85" w:rsidR="00D958F4" w:rsidRPr="00BB53C0" w:rsidRDefault="00D958F4" w:rsidP="00D75EA6">
      <w:pPr>
        <w:pStyle w:val="Ttulo1"/>
        <w:jc w:val="center"/>
      </w:pPr>
      <w:bookmarkStart w:id="1" w:name="_Toc510690297"/>
      <w:r w:rsidRPr="00BB53C0">
        <w:lastRenderedPageBreak/>
        <w:t>B</w:t>
      </w:r>
      <w:r w:rsidR="00DD0614" w:rsidRPr="00BB53C0">
        <w:t>alance</w:t>
      </w:r>
      <w:r w:rsidRPr="00BB53C0">
        <w:t xml:space="preserve"> G</w:t>
      </w:r>
      <w:r w:rsidR="00DD0614" w:rsidRPr="00BB53C0">
        <w:t>eneral</w:t>
      </w:r>
      <w:r w:rsidRPr="00BB53C0">
        <w:t xml:space="preserve"> E</w:t>
      </w:r>
      <w:r w:rsidR="00DD0614" w:rsidRPr="00BB53C0">
        <w:t>stadístico</w:t>
      </w:r>
      <w:r w:rsidRPr="00BB53C0">
        <w:t xml:space="preserve"> A</w:t>
      </w:r>
      <w:r w:rsidR="00DD0614" w:rsidRPr="00BB53C0">
        <w:t>nual de</w:t>
      </w:r>
      <w:r w:rsidRPr="00BB53C0">
        <w:t xml:space="preserve"> 20</w:t>
      </w:r>
      <w:r w:rsidR="006A558B" w:rsidRPr="00BB53C0">
        <w:t>20</w:t>
      </w:r>
      <w:r w:rsidRPr="00BB53C0">
        <w:t>.</w:t>
      </w:r>
      <w:bookmarkEnd w:id="1"/>
    </w:p>
    <w:p w14:paraId="7C5E3A57" w14:textId="77777777" w:rsidR="00D958F4" w:rsidRPr="00BB53C0" w:rsidRDefault="00D958F4" w:rsidP="002F7058">
      <w:pPr>
        <w:pStyle w:val="Ttulo2"/>
        <w:spacing w:line="360" w:lineRule="auto"/>
        <w:rPr>
          <w:rFonts w:cs="Arial"/>
          <w:sz w:val="24"/>
          <w:szCs w:val="24"/>
        </w:rPr>
      </w:pPr>
      <w:bookmarkStart w:id="2" w:name="_Toc510690298"/>
      <w:r w:rsidRPr="00BB53C0">
        <w:rPr>
          <w:rFonts w:cs="Arial"/>
          <w:sz w:val="24"/>
          <w:szCs w:val="24"/>
        </w:rPr>
        <w:t>Datos estadísticos generales</w:t>
      </w:r>
      <w:r w:rsidR="00E36306" w:rsidRPr="00BB53C0">
        <w:rPr>
          <w:rFonts w:cs="Arial"/>
          <w:sz w:val="24"/>
          <w:szCs w:val="24"/>
        </w:rPr>
        <w:t xml:space="preserve"> en materia Penal de Adultos</w:t>
      </w:r>
      <w:r w:rsidRPr="00BB53C0">
        <w:rPr>
          <w:rFonts w:cs="Arial"/>
          <w:sz w:val="24"/>
          <w:szCs w:val="24"/>
        </w:rPr>
        <w:t>.</w:t>
      </w:r>
      <w:bookmarkEnd w:id="2"/>
    </w:p>
    <w:p w14:paraId="4FC16EFB" w14:textId="4C94DD2D" w:rsidR="00D958F4" w:rsidRPr="00BB53C0" w:rsidRDefault="00D958F4"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 xml:space="preserve">Los reportes de datos estadísticos señalan que la Sala de Casación Penal </w:t>
      </w:r>
      <w:r w:rsidR="006B2822" w:rsidRPr="00BB53C0">
        <w:rPr>
          <w:rFonts w:ascii="Arial" w:hAnsi="Arial" w:cs="Arial"/>
          <w:sz w:val="24"/>
          <w:szCs w:val="24"/>
          <w:lang w:val="es-ES"/>
        </w:rPr>
        <w:t>inicio</w:t>
      </w:r>
      <w:r w:rsidRPr="00BB53C0">
        <w:rPr>
          <w:rFonts w:ascii="Arial" w:hAnsi="Arial" w:cs="Arial"/>
          <w:sz w:val="24"/>
          <w:szCs w:val="24"/>
          <w:lang w:val="es-ES"/>
        </w:rPr>
        <w:t xml:space="preserve"> el año 20</w:t>
      </w:r>
      <w:r w:rsidR="006A558B" w:rsidRPr="00BB53C0">
        <w:rPr>
          <w:rFonts w:ascii="Arial" w:hAnsi="Arial" w:cs="Arial"/>
          <w:sz w:val="24"/>
          <w:szCs w:val="24"/>
          <w:lang w:val="es-ES"/>
        </w:rPr>
        <w:t>20</w:t>
      </w:r>
      <w:r w:rsidRPr="00BB53C0">
        <w:rPr>
          <w:rFonts w:ascii="Arial" w:hAnsi="Arial" w:cs="Arial"/>
          <w:sz w:val="24"/>
          <w:szCs w:val="24"/>
          <w:lang w:val="es-ES"/>
        </w:rPr>
        <w:t xml:space="preserve"> con un circulante de </w:t>
      </w:r>
      <w:r w:rsidR="006A558B" w:rsidRPr="00BB53C0">
        <w:rPr>
          <w:rFonts w:ascii="Arial" w:hAnsi="Arial" w:cs="Arial"/>
          <w:sz w:val="24"/>
          <w:szCs w:val="24"/>
          <w:lang w:val="es-ES"/>
        </w:rPr>
        <w:t>470</w:t>
      </w:r>
      <w:r w:rsidRPr="00BB53C0">
        <w:rPr>
          <w:rFonts w:ascii="Arial" w:hAnsi="Arial" w:cs="Arial"/>
          <w:sz w:val="24"/>
          <w:szCs w:val="24"/>
          <w:lang w:val="es-ES"/>
        </w:rPr>
        <w:t xml:space="preserve"> expedientes. Ingresaron en el período la cantidad de </w:t>
      </w:r>
      <w:r w:rsidR="006A558B" w:rsidRPr="00BB53C0">
        <w:rPr>
          <w:rFonts w:ascii="Arial" w:hAnsi="Arial" w:cs="Arial"/>
          <w:sz w:val="24"/>
          <w:szCs w:val="24"/>
          <w:lang w:val="es-ES"/>
        </w:rPr>
        <w:t>1243</w:t>
      </w:r>
      <w:r w:rsidRPr="00BB53C0">
        <w:rPr>
          <w:rFonts w:ascii="Arial" w:hAnsi="Arial" w:cs="Arial"/>
          <w:sz w:val="24"/>
          <w:szCs w:val="24"/>
          <w:lang w:val="es-ES"/>
        </w:rPr>
        <w:t xml:space="preserve"> asuntos nuevos y </w:t>
      </w:r>
      <w:r w:rsidR="006A558B" w:rsidRPr="00BB53C0">
        <w:rPr>
          <w:rFonts w:ascii="Arial" w:hAnsi="Arial" w:cs="Arial"/>
          <w:sz w:val="24"/>
          <w:szCs w:val="24"/>
          <w:lang w:val="es-ES"/>
        </w:rPr>
        <w:t>24</w:t>
      </w:r>
      <w:r w:rsidRPr="00BB53C0">
        <w:rPr>
          <w:rFonts w:ascii="Arial" w:hAnsi="Arial" w:cs="Arial"/>
          <w:sz w:val="24"/>
          <w:szCs w:val="24"/>
          <w:lang w:val="es-ES"/>
        </w:rPr>
        <w:t xml:space="preserve"> reentrados para un total de </w:t>
      </w:r>
      <w:r w:rsidR="00BC7169" w:rsidRPr="00BB53C0">
        <w:rPr>
          <w:rFonts w:ascii="Arial" w:hAnsi="Arial" w:cs="Arial"/>
          <w:sz w:val="24"/>
          <w:szCs w:val="24"/>
          <w:lang w:val="es-ES"/>
        </w:rPr>
        <w:t>12</w:t>
      </w:r>
      <w:r w:rsidR="000F4E7F" w:rsidRPr="00BB53C0">
        <w:rPr>
          <w:rFonts w:ascii="Arial" w:hAnsi="Arial" w:cs="Arial"/>
          <w:sz w:val="24"/>
          <w:szCs w:val="24"/>
          <w:lang w:val="es-ES"/>
        </w:rPr>
        <w:t>67</w:t>
      </w:r>
      <w:r w:rsidRPr="00BB53C0">
        <w:rPr>
          <w:rFonts w:ascii="Arial" w:hAnsi="Arial" w:cs="Arial"/>
          <w:sz w:val="24"/>
          <w:szCs w:val="24"/>
          <w:lang w:val="es-ES"/>
        </w:rPr>
        <w:t xml:space="preserve"> asuntos y finalizó con </w:t>
      </w:r>
      <w:r w:rsidR="000F4E7F" w:rsidRPr="00BB53C0">
        <w:rPr>
          <w:rFonts w:ascii="Arial" w:hAnsi="Arial" w:cs="Arial"/>
          <w:sz w:val="24"/>
          <w:szCs w:val="24"/>
          <w:lang w:val="es-ES"/>
        </w:rPr>
        <w:t>322</w:t>
      </w:r>
      <w:r w:rsidRPr="00BB53C0">
        <w:rPr>
          <w:rFonts w:ascii="Arial" w:hAnsi="Arial" w:cs="Arial"/>
          <w:sz w:val="24"/>
          <w:szCs w:val="24"/>
          <w:lang w:val="es-ES"/>
        </w:rPr>
        <w:t xml:space="preserve"> casos activos.</w:t>
      </w:r>
    </w:p>
    <w:p w14:paraId="1DA70E93" w14:textId="1E647400" w:rsidR="00C55A8A" w:rsidRDefault="00D958F4" w:rsidP="000E110E">
      <w:pPr>
        <w:spacing w:line="360" w:lineRule="auto"/>
        <w:ind w:firstLine="708"/>
        <w:jc w:val="both"/>
        <w:rPr>
          <w:rFonts w:ascii="Arial" w:hAnsi="Arial" w:cs="Arial"/>
          <w:sz w:val="24"/>
          <w:szCs w:val="24"/>
          <w:lang w:val="es-ES"/>
        </w:rPr>
      </w:pPr>
      <w:r w:rsidRPr="00BB53C0">
        <w:rPr>
          <w:rFonts w:ascii="Arial" w:hAnsi="Arial" w:cs="Arial"/>
          <w:sz w:val="24"/>
          <w:szCs w:val="24"/>
          <w:lang w:val="es-ES"/>
        </w:rPr>
        <w:t>De lo anterior, resulta importante aclarar que</w:t>
      </w:r>
      <w:r w:rsidR="00F769B8" w:rsidRPr="00BB53C0">
        <w:rPr>
          <w:rFonts w:ascii="Arial" w:hAnsi="Arial" w:cs="Arial"/>
          <w:sz w:val="24"/>
          <w:szCs w:val="24"/>
          <w:lang w:val="es-ES"/>
        </w:rPr>
        <w:t>,</w:t>
      </w:r>
      <w:r w:rsidRPr="00BB53C0">
        <w:rPr>
          <w:rFonts w:ascii="Arial" w:hAnsi="Arial" w:cs="Arial"/>
          <w:sz w:val="24"/>
          <w:szCs w:val="24"/>
          <w:lang w:val="es-ES"/>
        </w:rPr>
        <w:t xml:space="preserve"> si bien en materia penal de adultos se resolvieron </w:t>
      </w:r>
      <w:r w:rsidR="000F4E7F" w:rsidRPr="00BB53C0">
        <w:rPr>
          <w:rFonts w:ascii="Arial" w:hAnsi="Arial" w:cs="Arial"/>
          <w:sz w:val="24"/>
          <w:szCs w:val="24"/>
          <w:lang w:val="es-ES"/>
        </w:rPr>
        <w:t>1413</w:t>
      </w:r>
      <w:r w:rsidRPr="00BB53C0">
        <w:rPr>
          <w:rFonts w:ascii="Arial" w:hAnsi="Arial" w:cs="Arial"/>
          <w:sz w:val="24"/>
          <w:szCs w:val="24"/>
          <w:lang w:val="es-ES"/>
        </w:rPr>
        <w:t xml:space="preserve"> expedientes durante el periodo señalado, dicha cantidad de asuntos significó resolver </w:t>
      </w:r>
      <w:r w:rsidR="000F4E7F" w:rsidRPr="00BB53C0">
        <w:rPr>
          <w:rFonts w:ascii="Arial" w:hAnsi="Arial" w:cs="Arial"/>
          <w:sz w:val="24"/>
          <w:szCs w:val="24"/>
          <w:lang w:val="es-ES"/>
        </w:rPr>
        <w:t>1684</w:t>
      </w:r>
      <w:r w:rsidRPr="00BB53C0">
        <w:rPr>
          <w:rFonts w:ascii="Arial" w:hAnsi="Arial" w:cs="Arial"/>
          <w:sz w:val="24"/>
          <w:szCs w:val="24"/>
          <w:lang w:val="es-ES"/>
        </w:rPr>
        <w:t xml:space="preserve"> gestiones de diferentes recurrentes. </w:t>
      </w:r>
    </w:p>
    <w:p w14:paraId="0EC2EB1C" w14:textId="66C2531B" w:rsidR="000E110E" w:rsidRDefault="000E110E" w:rsidP="000E110E">
      <w:pPr>
        <w:spacing w:line="360" w:lineRule="auto"/>
        <w:ind w:firstLine="708"/>
        <w:jc w:val="both"/>
        <w:rPr>
          <w:rFonts w:ascii="Arial" w:hAnsi="Arial" w:cs="Arial"/>
          <w:sz w:val="24"/>
          <w:szCs w:val="24"/>
          <w:lang w:val="es-ES"/>
        </w:rPr>
      </w:pPr>
    </w:p>
    <w:p w14:paraId="47FB2D04" w14:textId="09FAD61D" w:rsidR="000E110E" w:rsidRDefault="000E110E" w:rsidP="000E110E">
      <w:pPr>
        <w:spacing w:line="360" w:lineRule="auto"/>
        <w:ind w:firstLine="708"/>
        <w:jc w:val="both"/>
        <w:rPr>
          <w:rFonts w:ascii="Arial" w:hAnsi="Arial" w:cs="Arial"/>
          <w:sz w:val="24"/>
          <w:szCs w:val="24"/>
          <w:lang w:val="es-ES"/>
        </w:rPr>
      </w:pPr>
    </w:p>
    <w:p w14:paraId="76F4B9F9" w14:textId="258F8270" w:rsidR="000E110E" w:rsidRDefault="000E110E" w:rsidP="000E110E">
      <w:pPr>
        <w:spacing w:line="360" w:lineRule="auto"/>
        <w:ind w:firstLine="708"/>
        <w:jc w:val="both"/>
        <w:rPr>
          <w:rFonts w:ascii="Arial" w:hAnsi="Arial" w:cs="Arial"/>
          <w:sz w:val="24"/>
          <w:szCs w:val="24"/>
          <w:lang w:val="es-ES"/>
        </w:rPr>
      </w:pPr>
    </w:p>
    <w:p w14:paraId="0D8BDBA1" w14:textId="49757A44" w:rsidR="000E110E" w:rsidRDefault="000E110E" w:rsidP="000E110E">
      <w:pPr>
        <w:spacing w:line="360" w:lineRule="auto"/>
        <w:ind w:firstLine="708"/>
        <w:jc w:val="both"/>
        <w:rPr>
          <w:rFonts w:ascii="Arial" w:hAnsi="Arial" w:cs="Arial"/>
          <w:sz w:val="24"/>
          <w:szCs w:val="24"/>
          <w:lang w:val="es-ES"/>
        </w:rPr>
      </w:pPr>
    </w:p>
    <w:p w14:paraId="3AE0672F" w14:textId="4DE33FCE" w:rsidR="000E110E" w:rsidRDefault="000E110E" w:rsidP="000E110E">
      <w:pPr>
        <w:spacing w:line="360" w:lineRule="auto"/>
        <w:ind w:firstLine="708"/>
        <w:jc w:val="both"/>
        <w:rPr>
          <w:rFonts w:ascii="Arial" w:hAnsi="Arial" w:cs="Arial"/>
          <w:sz w:val="24"/>
          <w:szCs w:val="24"/>
          <w:lang w:val="es-ES"/>
        </w:rPr>
      </w:pPr>
    </w:p>
    <w:p w14:paraId="2213917D" w14:textId="63C11F1B" w:rsidR="000E110E" w:rsidRDefault="000E110E" w:rsidP="000E110E">
      <w:pPr>
        <w:spacing w:line="360" w:lineRule="auto"/>
        <w:ind w:firstLine="708"/>
        <w:jc w:val="both"/>
        <w:rPr>
          <w:rFonts w:ascii="Arial" w:hAnsi="Arial" w:cs="Arial"/>
          <w:sz w:val="24"/>
          <w:szCs w:val="24"/>
          <w:lang w:val="es-ES"/>
        </w:rPr>
      </w:pPr>
    </w:p>
    <w:p w14:paraId="02D33F94" w14:textId="7D3AD266" w:rsidR="000E110E" w:rsidRDefault="000E110E" w:rsidP="000E110E">
      <w:pPr>
        <w:spacing w:line="360" w:lineRule="auto"/>
        <w:ind w:firstLine="708"/>
        <w:jc w:val="both"/>
        <w:rPr>
          <w:rFonts w:ascii="Arial" w:hAnsi="Arial" w:cs="Arial"/>
          <w:sz w:val="24"/>
          <w:szCs w:val="24"/>
          <w:lang w:val="es-ES"/>
        </w:rPr>
      </w:pPr>
    </w:p>
    <w:p w14:paraId="54A697C1" w14:textId="1618ABE5" w:rsidR="000E110E" w:rsidRDefault="000E110E" w:rsidP="000E110E">
      <w:pPr>
        <w:spacing w:line="360" w:lineRule="auto"/>
        <w:ind w:firstLine="708"/>
        <w:jc w:val="both"/>
        <w:rPr>
          <w:rFonts w:ascii="Arial" w:hAnsi="Arial" w:cs="Arial"/>
          <w:sz w:val="24"/>
          <w:szCs w:val="24"/>
          <w:lang w:val="es-ES"/>
        </w:rPr>
      </w:pPr>
    </w:p>
    <w:p w14:paraId="4B872F6E" w14:textId="1C33747E" w:rsidR="000E110E" w:rsidRDefault="000E110E" w:rsidP="000E110E">
      <w:pPr>
        <w:spacing w:line="360" w:lineRule="auto"/>
        <w:ind w:firstLine="708"/>
        <w:jc w:val="both"/>
        <w:rPr>
          <w:rFonts w:ascii="Arial" w:hAnsi="Arial" w:cs="Arial"/>
          <w:sz w:val="24"/>
          <w:szCs w:val="24"/>
          <w:lang w:val="es-ES"/>
        </w:rPr>
      </w:pPr>
    </w:p>
    <w:p w14:paraId="7D08BDF7" w14:textId="536CB5C6" w:rsidR="000E110E" w:rsidRDefault="000E110E" w:rsidP="000E110E">
      <w:pPr>
        <w:spacing w:line="360" w:lineRule="auto"/>
        <w:ind w:firstLine="708"/>
        <w:jc w:val="both"/>
        <w:rPr>
          <w:rFonts w:ascii="Arial" w:hAnsi="Arial" w:cs="Arial"/>
          <w:sz w:val="24"/>
          <w:szCs w:val="24"/>
          <w:lang w:val="es-ES"/>
        </w:rPr>
      </w:pPr>
    </w:p>
    <w:p w14:paraId="0C864F50" w14:textId="179D767F" w:rsidR="000E110E" w:rsidRDefault="000E110E" w:rsidP="000E110E">
      <w:pPr>
        <w:spacing w:line="360" w:lineRule="auto"/>
        <w:ind w:firstLine="708"/>
        <w:jc w:val="both"/>
        <w:rPr>
          <w:rFonts w:ascii="Arial" w:hAnsi="Arial" w:cs="Arial"/>
          <w:sz w:val="24"/>
          <w:szCs w:val="24"/>
          <w:lang w:val="es-ES"/>
        </w:rPr>
      </w:pPr>
    </w:p>
    <w:p w14:paraId="0ED7B617" w14:textId="04713C91" w:rsidR="000E110E" w:rsidRDefault="000E110E" w:rsidP="000E110E">
      <w:pPr>
        <w:spacing w:line="360" w:lineRule="auto"/>
        <w:ind w:firstLine="708"/>
        <w:jc w:val="both"/>
        <w:rPr>
          <w:rFonts w:ascii="Arial" w:hAnsi="Arial" w:cs="Arial"/>
          <w:sz w:val="24"/>
          <w:szCs w:val="24"/>
          <w:lang w:val="es-ES"/>
        </w:rPr>
      </w:pPr>
    </w:p>
    <w:p w14:paraId="072D4099" w14:textId="6E13F0B7" w:rsidR="000E110E" w:rsidRDefault="000E110E" w:rsidP="000E110E">
      <w:pPr>
        <w:spacing w:line="360" w:lineRule="auto"/>
        <w:ind w:firstLine="708"/>
        <w:jc w:val="both"/>
        <w:rPr>
          <w:rFonts w:ascii="Arial" w:hAnsi="Arial" w:cs="Arial"/>
          <w:sz w:val="24"/>
          <w:szCs w:val="24"/>
          <w:lang w:val="es-ES"/>
        </w:rPr>
      </w:pPr>
    </w:p>
    <w:p w14:paraId="0E069318" w14:textId="2D45C7E0" w:rsidR="000E110E" w:rsidRDefault="000E110E" w:rsidP="000E110E">
      <w:pPr>
        <w:spacing w:line="360" w:lineRule="auto"/>
        <w:ind w:firstLine="708"/>
        <w:jc w:val="both"/>
        <w:rPr>
          <w:rFonts w:ascii="Arial" w:hAnsi="Arial" w:cs="Arial"/>
          <w:sz w:val="24"/>
          <w:szCs w:val="24"/>
          <w:lang w:val="es-ES"/>
        </w:rPr>
      </w:pPr>
    </w:p>
    <w:p w14:paraId="2CE6EBA1" w14:textId="021C5282" w:rsidR="00844DAD" w:rsidRPr="00BB53C0" w:rsidRDefault="00844DAD" w:rsidP="00844DAD">
      <w:pPr>
        <w:spacing w:line="360" w:lineRule="auto"/>
        <w:ind w:firstLine="708"/>
        <w:jc w:val="center"/>
        <w:rPr>
          <w:rFonts w:ascii="Arial" w:hAnsi="Arial" w:cs="Arial"/>
          <w:b/>
          <w:sz w:val="32"/>
          <w:szCs w:val="32"/>
          <w:lang w:val="es-ES"/>
        </w:rPr>
      </w:pPr>
      <w:r w:rsidRPr="00BB53C0">
        <w:rPr>
          <w:rFonts w:ascii="Arial" w:hAnsi="Arial" w:cs="Arial"/>
          <w:b/>
          <w:sz w:val="32"/>
          <w:szCs w:val="32"/>
          <w:lang w:val="es-ES"/>
        </w:rPr>
        <w:lastRenderedPageBreak/>
        <w:t>BALANCE GENERAL 20</w:t>
      </w:r>
      <w:r w:rsidR="0038750D" w:rsidRPr="00BB53C0">
        <w:rPr>
          <w:rFonts w:ascii="Arial" w:hAnsi="Arial" w:cs="Arial"/>
          <w:b/>
          <w:sz w:val="32"/>
          <w:szCs w:val="32"/>
          <w:lang w:val="es-ES"/>
        </w:rPr>
        <w:t>20</w:t>
      </w:r>
      <w:r w:rsidRPr="00BB53C0">
        <w:rPr>
          <w:rFonts w:ascii="Arial" w:hAnsi="Arial" w:cs="Arial"/>
          <w:b/>
          <w:sz w:val="32"/>
          <w:szCs w:val="32"/>
          <w:lang w:val="es-ES"/>
        </w:rPr>
        <w:br/>
        <w:t>(Circulante inicial, Entrados, Resueltos y Circulante Activo)</w:t>
      </w:r>
    </w:p>
    <w:p w14:paraId="1395EA52" w14:textId="77777777" w:rsidR="0038750D" w:rsidRPr="00BB53C0" w:rsidRDefault="0038750D" w:rsidP="00844DAD">
      <w:pPr>
        <w:spacing w:line="360" w:lineRule="auto"/>
        <w:ind w:firstLine="708"/>
        <w:jc w:val="center"/>
        <w:rPr>
          <w:rFonts w:ascii="Arial" w:hAnsi="Arial" w:cs="Arial"/>
          <w:b/>
          <w:sz w:val="32"/>
          <w:szCs w:val="32"/>
          <w:lang w:val="es-ES"/>
        </w:rPr>
      </w:pPr>
    </w:p>
    <w:p w14:paraId="31EA4B3E" w14:textId="0E93616A" w:rsidR="00844DAD" w:rsidRPr="00BB53C0" w:rsidRDefault="00BB0CB1" w:rsidP="00844DAD">
      <w:pPr>
        <w:spacing w:line="360" w:lineRule="auto"/>
        <w:ind w:firstLine="708"/>
        <w:jc w:val="center"/>
        <w:rPr>
          <w:rFonts w:ascii="Arial" w:hAnsi="Arial" w:cs="Arial"/>
          <w:b/>
          <w:sz w:val="32"/>
          <w:szCs w:val="32"/>
          <w:lang w:val="es-ES"/>
        </w:rPr>
      </w:pPr>
      <w:r w:rsidRPr="00BB53C0">
        <w:rPr>
          <w:rFonts w:ascii="Arial" w:hAnsi="Arial" w:cs="Arial"/>
          <w:noProof/>
        </w:rPr>
        <w:drawing>
          <wp:inline distT="0" distB="0" distL="0" distR="0" wp14:anchorId="470CE7D0" wp14:editId="7F611565">
            <wp:extent cx="5433060" cy="4892040"/>
            <wp:effectExtent l="0" t="0" r="15240" b="3810"/>
            <wp:docPr id="1" name="Gráfico 1">
              <a:extLst xmlns:a="http://schemas.openxmlformats.org/drawingml/2006/main">
                <a:ext uri="{FF2B5EF4-FFF2-40B4-BE49-F238E27FC236}">
                  <a16:creationId xmlns:a16="http://schemas.microsoft.com/office/drawing/2014/main" id="{00000000-0008-0000-0000-000025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555581" w14:textId="17A23CD0" w:rsidR="00844DAD" w:rsidRPr="00BB53C0" w:rsidRDefault="00844DAD" w:rsidP="007902AF">
      <w:pPr>
        <w:spacing w:line="360" w:lineRule="auto"/>
        <w:jc w:val="center"/>
        <w:rPr>
          <w:rFonts w:ascii="Arial" w:hAnsi="Arial" w:cs="Arial"/>
          <w:b/>
          <w:sz w:val="32"/>
          <w:szCs w:val="32"/>
          <w:lang w:val="es-ES"/>
        </w:rPr>
      </w:pPr>
    </w:p>
    <w:p w14:paraId="58BDF062" w14:textId="24E6FAC1" w:rsidR="00D958F4" w:rsidRPr="00BB53C0" w:rsidRDefault="00D958F4" w:rsidP="002D2A5D">
      <w:pPr>
        <w:spacing w:line="360" w:lineRule="auto"/>
        <w:jc w:val="center"/>
        <w:rPr>
          <w:rFonts w:ascii="Arial" w:hAnsi="Arial" w:cs="Arial"/>
          <w:b/>
          <w:noProof/>
          <w:sz w:val="32"/>
          <w:szCs w:val="32"/>
          <w:lang w:val="es-ES" w:eastAsia="es-ES"/>
        </w:rPr>
      </w:pPr>
    </w:p>
    <w:p w14:paraId="4C2E92C8" w14:textId="04573561" w:rsidR="0038750D" w:rsidRPr="00BB53C0" w:rsidRDefault="0038750D" w:rsidP="002D2A5D">
      <w:pPr>
        <w:spacing w:line="360" w:lineRule="auto"/>
        <w:jc w:val="center"/>
        <w:rPr>
          <w:rFonts w:ascii="Arial" w:hAnsi="Arial" w:cs="Arial"/>
          <w:b/>
          <w:noProof/>
          <w:sz w:val="32"/>
          <w:szCs w:val="32"/>
          <w:lang w:val="es-ES" w:eastAsia="es-ES"/>
        </w:rPr>
      </w:pPr>
    </w:p>
    <w:p w14:paraId="20A77C84" w14:textId="5460A938" w:rsidR="0038750D" w:rsidRPr="00BB53C0" w:rsidRDefault="0038750D" w:rsidP="002D2A5D">
      <w:pPr>
        <w:spacing w:line="360" w:lineRule="auto"/>
        <w:jc w:val="center"/>
        <w:rPr>
          <w:rFonts w:ascii="Arial" w:hAnsi="Arial" w:cs="Arial"/>
          <w:b/>
          <w:noProof/>
          <w:sz w:val="32"/>
          <w:szCs w:val="32"/>
          <w:lang w:val="es-ES" w:eastAsia="es-ES"/>
        </w:rPr>
      </w:pPr>
    </w:p>
    <w:p w14:paraId="09BBB420" w14:textId="68E68D84" w:rsidR="00D958F4" w:rsidRPr="00BB53C0" w:rsidRDefault="0038750D" w:rsidP="002A12BB">
      <w:pPr>
        <w:spacing w:line="360" w:lineRule="auto"/>
        <w:jc w:val="both"/>
        <w:rPr>
          <w:rFonts w:ascii="Arial" w:hAnsi="Arial" w:cs="Arial"/>
          <w:noProof/>
          <w:sz w:val="24"/>
          <w:szCs w:val="24"/>
          <w:lang w:val="es-ES" w:eastAsia="es-ES"/>
        </w:rPr>
      </w:pPr>
      <w:r w:rsidRPr="00BB53C0">
        <w:rPr>
          <w:rFonts w:ascii="Arial" w:hAnsi="Arial" w:cs="Arial"/>
          <w:noProof/>
        </w:rPr>
        <w:lastRenderedPageBreak/>
        <w:drawing>
          <wp:inline distT="0" distB="0" distL="0" distR="0" wp14:anchorId="6FCFF829" wp14:editId="21BD65A9">
            <wp:extent cx="5963920" cy="4450080"/>
            <wp:effectExtent l="0" t="0" r="0" b="7620"/>
            <wp:docPr id="45" name="Gráfico 45">
              <a:extLst xmlns:a="http://schemas.openxmlformats.org/drawingml/2006/main">
                <a:ext uri="{FF2B5EF4-FFF2-40B4-BE49-F238E27FC236}">
                  <a16:creationId xmlns:a16="http://schemas.microsoft.com/office/drawing/2014/main" id="{00000000-0008-0000-0100-0000251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F9DEE9" w14:textId="77777777" w:rsidR="00533E1A" w:rsidRPr="00BB53C0" w:rsidRDefault="00533E1A" w:rsidP="002A12BB">
      <w:pPr>
        <w:spacing w:line="360" w:lineRule="auto"/>
        <w:jc w:val="both"/>
        <w:rPr>
          <w:rFonts w:ascii="Arial" w:hAnsi="Arial" w:cs="Arial"/>
          <w:noProof/>
          <w:sz w:val="24"/>
          <w:szCs w:val="24"/>
          <w:lang w:val="es-ES" w:eastAsia="es-ES"/>
        </w:rPr>
      </w:pPr>
    </w:p>
    <w:p w14:paraId="0CE9355D" w14:textId="77777777" w:rsidR="00D958F4" w:rsidRPr="00BB53C0" w:rsidRDefault="00D958F4" w:rsidP="002F7058">
      <w:pPr>
        <w:pStyle w:val="Ttulo2"/>
        <w:spacing w:line="360" w:lineRule="auto"/>
        <w:rPr>
          <w:rFonts w:cs="Arial"/>
          <w:sz w:val="24"/>
          <w:szCs w:val="24"/>
        </w:rPr>
      </w:pPr>
      <w:bookmarkStart w:id="3" w:name="_Toc510690299"/>
      <w:r w:rsidRPr="00BB53C0">
        <w:rPr>
          <w:rFonts w:cs="Arial"/>
          <w:sz w:val="24"/>
          <w:szCs w:val="24"/>
        </w:rPr>
        <w:t>Asuntos entrados y reentrados por recurrente.</w:t>
      </w:r>
      <w:bookmarkEnd w:id="3"/>
      <w:r w:rsidRPr="00BB53C0">
        <w:rPr>
          <w:rFonts w:cs="Arial"/>
          <w:sz w:val="24"/>
          <w:szCs w:val="24"/>
        </w:rPr>
        <w:t xml:space="preserve"> </w:t>
      </w:r>
    </w:p>
    <w:p w14:paraId="69B0E469" w14:textId="7C38B869" w:rsidR="00D958F4" w:rsidRPr="00BB53C0" w:rsidRDefault="00D958F4" w:rsidP="002F7058">
      <w:pPr>
        <w:pStyle w:val="Ttulo3"/>
        <w:spacing w:line="360" w:lineRule="auto"/>
        <w:rPr>
          <w:rFonts w:cs="Arial"/>
          <w:sz w:val="24"/>
          <w:szCs w:val="24"/>
        </w:rPr>
      </w:pPr>
      <w:bookmarkStart w:id="4" w:name="_Toc510690300"/>
      <w:r w:rsidRPr="00BB53C0">
        <w:rPr>
          <w:rFonts w:cs="Arial"/>
          <w:sz w:val="24"/>
          <w:szCs w:val="24"/>
        </w:rPr>
        <w:t>Total de recurrentes en los asuntos entrados y reentrados en el 20</w:t>
      </w:r>
      <w:r w:rsidR="0038750D" w:rsidRPr="00BB53C0">
        <w:rPr>
          <w:rFonts w:cs="Arial"/>
          <w:sz w:val="24"/>
          <w:szCs w:val="24"/>
        </w:rPr>
        <w:t>20</w:t>
      </w:r>
      <w:r w:rsidRPr="00BB53C0">
        <w:rPr>
          <w:rFonts w:cs="Arial"/>
          <w:sz w:val="24"/>
          <w:szCs w:val="24"/>
        </w:rPr>
        <w:t xml:space="preserve"> (por tipo de recurrente).</w:t>
      </w:r>
      <w:bookmarkEnd w:id="4"/>
    </w:p>
    <w:p w14:paraId="42377B41" w14:textId="09FA4EE3" w:rsidR="00D958F4" w:rsidRDefault="00D958F4"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En lo relativo al total de recurrentes en las causas ingresadas, en el período 20</w:t>
      </w:r>
      <w:r w:rsidR="0038750D" w:rsidRPr="00BB53C0">
        <w:rPr>
          <w:rFonts w:ascii="Arial" w:hAnsi="Arial" w:cs="Arial"/>
          <w:sz w:val="24"/>
          <w:szCs w:val="24"/>
          <w:lang w:val="es-ES"/>
        </w:rPr>
        <w:t>20</w:t>
      </w:r>
      <w:r w:rsidRPr="00BB53C0">
        <w:rPr>
          <w:rFonts w:ascii="Arial" w:hAnsi="Arial" w:cs="Arial"/>
          <w:sz w:val="24"/>
          <w:szCs w:val="24"/>
          <w:lang w:val="es-ES"/>
        </w:rPr>
        <w:t xml:space="preserve"> en comparación con el 20</w:t>
      </w:r>
      <w:r w:rsidR="0038750D" w:rsidRPr="00BB53C0">
        <w:rPr>
          <w:rFonts w:ascii="Arial" w:hAnsi="Arial" w:cs="Arial"/>
          <w:sz w:val="24"/>
          <w:szCs w:val="24"/>
          <w:lang w:val="es-ES"/>
        </w:rPr>
        <w:t>19</w:t>
      </w:r>
      <w:r w:rsidRPr="00BB53C0">
        <w:rPr>
          <w:rFonts w:ascii="Arial" w:hAnsi="Arial" w:cs="Arial"/>
          <w:sz w:val="24"/>
          <w:szCs w:val="24"/>
          <w:lang w:val="es-ES"/>
        </w:rPr>
        <w:t>, los datos señalan que: durante el 20</w:t>
      </w:r>
      <w:r w:rsidR="0038750D" w:rsidRPr="00BB53C0">
        <w:rPr>
          <w:rFonts w:ascii="Arial" w:hAnsi="Arial" w:cs="Arial"/>
          <w:sz w:val="24"/>
          <w:szCs w:val="24"/>
          <w:lang w:val="es-ES"/>
        </w:rPr>
        <w:t>20</w:t>
      </w:r>
      <w:r w:rsidRPr="00BB53C0">
        <w:rPr>
          <w:rFonts w:ascii="Arial" w:hAnsi="Arial" w:cs="Arial"/>
          <w:sz w:val="24"/>
          <w:szCs w:val="24"/>
          <w:lang w:val="es-ES"/>
        </w:rPr>
        <w:t xml:space="preserve">, el total fue de </w:t>
      </w:r>
      <w:r w:rsidR="0038750D" w:rsidRPr="00BB53C0">
        <w:rPr>
          <w:rFonts w:ascii="Arial" w:hAnsi="Arial" w:cs="Arial"/>
          <w:sz w:val="24"/>
          <w:szCs w:val="24"/>
          <w:lang w:val="es-ES"/>
        </w:rPr>
        <w:t>1352</w:t>
      </w:r>
      <w:r w:rsidRPr="00BB53C0">
        <w:rPr>
          <w:rFonts w:ascii="Arial" w:hAnsi="Arial" w:cs="Arial"/>
          <w:sz w:val="24"/>
          <w:szCs w:val="24"/>
          <w:lang w:val="es-ES"/>
        </w:rPr>
        <w:t xml:space="preserve"> recurrentes, </w:t>
      </w:r>
      <w:r w:rsidR="0038750D" w:rsidRPr="00BB53C0">
        <w:rPr>
          <w:rFonts w:ascii="Arial" w:hAnsi="Arial" w:cs="Arial"/>
          <w:sz w:val="24"/>
          <w:szCs w:val="24"/>
          <w:lang w:val="es-ES"/>
        </w:rPr>
        <w:t xml:space="preserve">38 menos </w:t>
      </w:r>
      <w:r w:rsidRPr="00BB53C0">
        <w:rPr>
          <w:rFonts w:ascii="Arial" w:hAnsi="Arial" w:cs="Arial"/>
          <w:sz w:val="24"/>
          <w:szCs w:val="24"/>
          <w:lang w:val="es-ES"/>
        </w:rPr>
        <w:t xml:space="preserve">que el </w:t>
      </w:r>
      <w:r w:rsidR="0038750D" w:rsidRPr="00BB53C0">
        <w:rPr>
          <w:rFonts w:ascii="Arial" w:hAnsi="Arial" w:cs="Arial"/>
          <w:sz w:val="24"/>
          <w:szCs w:val="24"/>
          <w:lang w:val="es-ES"/>
        </w:rPr>
        <w:t xml:space="preserve">año </w:t>
      </w:r>
      <w:r w:rsidRPr="00BB53C0">
        <w:rPr>
          <w:rFonts w:ascii="Arial" w:hAnsi="Arial" w:cs="Arial"/>
          <w:sz w:val="24"/>
          <w:szCs w:val="24"/>
          <w:lang w:val="es-ES"/>
        </w:rPr>
        <w:t>201</w:t>
      </w:r>
      <w:r w:rsidR="0038750D" w:rsidRPr="00BB53C0">
        <w:rPr>
          <w:rFonts w:ascii="Arial" w:hAnsi="Arial" w:cs="Arial"/>
          <w:sz w:val="24"/>
          <w:szCs w:val="24"/>
          <w:lang w:val="es-ES"/>
        </w:rPr>
        <w:t>9</w:t>
      </w:r>
      <w:r w:rsidRPr="00BB53C0">
        <w:rPr>
          <w:rFonts w:ascii="Arial" w:hAnsi="Arial" w:cs="Arial"/>
          <w:sz w:val="24"/>
          <w:szCs w:val="24"/>
          <w:lang w:val="es-ES"/>
        </w:rPr>
        <w:t xml:space="preserve">. </w:t>
      </w:r>
    </w:p>
    <w:p w14:paraId="62B10AA4" w14:textId="4F0C0063" w:rsidR="000E110E" w:rsidRDefault="000E110E" w:rsidP="002F7058">
      <w:pPr>
        <w:spacing w:line="360" w:lineRule="auto"/>
        <w:ind w:firstLine="708"/>
        <w:jc w:val="both"/>
        <w:rPr>
          <w:rFonts w:ascii="Arial" w:hAnsi="Arial" w:cs="Arial"/>
          <w:sz w:val="24"/>
          <w:szCs w:val="24"/>
          <w:lang w:val="es-ES"/>
        </w:rPr>
      </w:pPr>
    </w:p>
    <w:p w14:paraId="1A77A338" w14:textId="7ABD593B" w:rsidR="000E110E" w:rsidRDefault="000E110E" w:rsidP="002F7058">
      <w:pPr>
        <w:spacing w:line="360" w:lineRule="auto"/>
        <w:ind w:firstLine="708"/>
        <w:jc w:val="both"/>
        <w:rPr>
          <w:rFonts w:ascii="Arial" w:hAnsi="Arial" w:cs="Arial"/>
          <w:sz w:val="24"/>
          <w:szCs w:val="24"/>
          <w:lang w:val="es-ES"/>
        </w:rPr>
      </w:pPr>
    </w:p>
    <w:p w14:paraId="4D152DFC" w14:textId="4091F8A2" w:rsidR="000E110E" w:rsidRDefault="000E110E" w:rsidP="002F7058">
      <w:pPr>
        <w:spacing w:line="360" w:lineRule="auto"/>
        <w:ind w:firstLine="708"/>
        <w:jc w:val="both"/>
        <w:rPr>
          <w:rFonts w:ascii="Arial" w:hAnsi="Arial" w:cs="Arial"/>
          <w:sz w:val="24"/>
          <w:szCs w:val="24"/>
          <w:lang w:val="es-ES"/>
        </w:rPr>
      </w:pPr>
    </w:p>
    <w:p w14:paraId="3AFC41C2" w14:textId="7A738052" w:rsidR="000E110E" w:rsidRDefault="000E110E" w:rsidP="002F7058">
      <w:pPr>
        <w:spacing w:line="360" w:lineRule="auto"/>
        <w:ind w:firstLine="708"/>
        <w:jc w:val="both"/>
        <w:rPr>
          <w:rFonts w:ascii="Arial" w:hAnsi="Arial" w:cs="Arial"/>
          <w:sz w:val="24"/>
          <w:szCs w:val="24"/>
          <w:lang w:val="es-ES"/>
        </w:rPr>
      </w:pPr>
    </w:p>
    <w:p w14:paraId="3C0EC99E" w14:textId="77777777" w:rsidR="000E110E" w:rsidRPr="00BB53C0" w:rsidRDefault="000E110E" w:rsidP="002F7058">
      <w:pPr>
        <w:spacing w:line="360" w:lineRule="auto"/>
        <w:ind w:firstLine="708"/>
        <w:jc w:val="both"/>
        <w:rPr>
          <w:rFonts w:ascii="Arial" w:hAnsi="Arial" w:cs="Arial"/>
          <w:sz w:val="24"/>
          <w:szCs w:val="24"/>
          <w:lang w:val="es-ES"/>
        </w:rPr>
      </w:pPr>
    </w:p>
    <w:p w14:paraId="55646F27" w14:textId="6EA473B3" w:rsidR="00CE711C" w:rsidRPr="00BB53C0" w:rsidRDefault="00CE711C" w:rsidP="00CE711C">
      <w:pPr>
        <w:spacing w:line="360" w:lineRule="auto"/>
        <w:jc w:val="both"/>
        <w:rPr>
          <w:rFonts w:ascii="Arial" w:hAnsi="Arial" w:cs="Arial"/>
          <w:sz w:val="24"/>
          <w:szCs w:val="24"/>
          <w:lang w:val="es-ES"/>
        </w:rPr>
      </w:pPr>
      <w:r w:rsidRPr="00BB53C0">
        <w:rPr>
          <w:rFonts w:ascii="Arial" w:hAnsi="Arial" w:cs="Arial"/>
          <w:noProof/>
        </w:rPr>
        <w:drawing>
          <wp:inline distT="0" distB="0" distL="0" distR="0" wp14:anchorId="35F79669" wp14:editId="10DE38FA">
            <wp:extent cx="5971540" cy="5538470"/>
            <wp:effectExtent l="0" t="0" r="10160" b="5080"/>
            <wp:docPr id="46" name="Gráfico 46">
              <a:extLst xmlns:a="http://schemas.openxmlformats.org/drawingml/2006/main">
                <a:ext uri="{FF2B5EF4-FFF2-40B4-BE49-F238E27FC236}">
                  <a16:creationId xmlns:a16="http://schemas.microsoft.com/office/drawing/2014/main" id="{00000000-0008-0000-0200-0000251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804C5F" w14:textId="77777777" w:rsidR="007902AF" w:rsidRPr="00BB53C0" w:rsidRDefault="007902AF" w:rsidP="002A12BB">
      <w:pPr>
        <w:spacing w:line="360" w:lineRule="auto"/>
        <w:ind w:firstLine="708"/>
        <w:jc w:val="both"/>
        <w:rPr>
          <w:rFonts w:ascii="Arial" w:hAnsi="Arial" w:cs="Arial"/>
          <w:sz w:val="24"/>
          <w:szCs w:val="24"/>
          <w:lang w:val="es-ES"/>
        </w:rPr>
      </w:pPr>
    </w:p>
    <w:p w14:paraId="05FEB799" w14:textId="187A5207" w:rsidR="007902AF" w:rsidRPr="00BB53C0" w:rsidRDefault="007902AF" w:rsidP="002A12BB">
      <w:pPr>
        <w:spacing w:line="360" w:lineRule="auto"/>
        <w:ind w:firstLine="708"/>
        <w:jc w:val="both"/>
        <w:rPr>
          <w:rFonts w:ascii="Arial" w:hAnsi="Arial" w:cs="Arial"/>
          <w:sz w:val="24"/>
          <w:szCs w:val="24"/>
          <w:lang w:val="es-ES"/>
        </w:rPr>
      </w:pPr>
    </w:p>
    <w:p w14:paraId="17D62F51" w14:textId="671252F4" w:rsidR="00D958F4" w:rsidRDefault="00D958F4" w:rsidP="00F262F5">
      <w:pPr>
        <w:spacing w:line="360" w:lineRule="auto"/>
        <w:jc w:val="center"/>
        <w:rPr>
          <w:rFonts w:ascii="Arial" w:hAnsi="Arial" w:cs="Arial"/>
          <w:noProof/>
          <w:sz w:val="24"/>
          <w:szCs w:val="24"/>
          <w:lang w:val="es-ES" w:eastAsia="es-ES"/>
        </w:rPr>
      </w:pPr>
    </w:p>
    <w:p w14:paraId="4505438A" w14:textId="75FCEA5C" w:rsidR="000E110E" w:rsidRDefault="000E110E" w:rsidP="00F262F5">
      <w:pPr>
        <w:spacing w:line="360" w:lineRule="auto"/>
        <w:jc w:val="center"/>
        <w:rPr>
          <w:rFonts w:ascii="Arial" w:hAnsi="Arial" w:cs="Arial"/>
          <w:noProof/>
          <w:sz w:val="24"/>
          <w:szCs w:val="24"/>
          <w:lang w:val="es-ES" w:eastAsia="es-ES"/>
        </w:rPr>
      </w:pPr>
    </w:p>
    <w:p w14:paraId="37410401" w14:textId="77777777" w:rsidR="00D958F4" w:rsidRPr="00BB53C0" w:rsidRDefault="007133E9" w:rsidP="002F7058">
      <w:pPr>
        <w:pStyle w:val="Ttulo3"/>
        <w:spacing w:line="360" w:lineRule="auto"/>
        <w:rPr>
          <w:rFonts w:cs="Arial"/>
          <w:sz w:val="24"/>
          <w:szCs w:val="24"/>
        </w:rPr>
      </w:pPr>
      <w:bookmarkStart w:id="5" w:name="_Toc510690301"/>
      <w:r w:rsidRPr="00BB53C0">
        <w:rPr>
          <w:rFonts w:cs="Arial"/>
          <w:sz w:val="24"/>
          <w:szCs w:val="24"/>
        </w:rPr>
        <w:lastRenderedPageBreak/>
        <w:t>Total</w:t>
      </w:r>
      <w:r w:rsidR="00D958F4" w:rsidRPr="00BB53C0">
        <w:rPr>
          <w:rFonts w:cs="Arial"/>
          <w:sz w:val="24"/>
          <w:szCs w:val="24"/>
        </w:rPr>
        <w:t xml:space="preserve"> de recurrentes intervinientes en los recursos de casación.</w:t>
      </w:r>
      <w:bookmarkEnd w:id="5"/>
    </w:p>
    <w:p w14:paraId="5D255008" w14:textId="77777777" w:rsidR="002F7058" w:rsidRPr="00BB53C0" w:rsidRDefault="002F7058" w:rsidP="002F7058">
      <w:pPr>
        <w:spacing w:line="360" w:lineRule="auto"/>
        <w:ind w:firstLine="708"/>
        <w:jc w:val="both"/>
        <w:rPr>
          <w:rFonts w:ascii="Arial" w:hAnsi="Arial" w:cs="Arial"/>
          <w:sz w:val="24"/>
          <w:szCs w:val="24"/>
          <w:lang w:val="es-ES"/>
        </w:rPr>
      </w:pPr>
    </w:p>
    <w:p w14:paraId="3B0A1DD9" w14:textId="45BDF58A" w:rsidR="00D958F4" w:rsidRPr="00BB53C0" w:rsidRDefault="00D958F4"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Para el 20</w:t>
      </w:r>
      <w:r w:rsidR="0038750D" w:rsidRPr="00BB53C0">
        <w:rPr>
          <w:rFonts w:ascii="Arial" w:hAnsi="Arial" w:cs="Arial"/>
          <w:sz w:val="24"/>
          <w:szCs w:val="24"/>
          <w:lang w:val="es-ES"/>
        </w:rPr>
        <w:t>20</w:t>
      </w:r>
      <w:r w:rsidRPr="00BB53C0">
        <w:rPr>
          <w:rFonts w:ascii="Arial" w:hAnsi="Arial" w:cs="Arial"/>
          <w:sz w:val="24"/>
          <w:szCs w:val="24"/>
          <w:lang w:val="es-ES"/>
        </w:rPr>
        <w:t>, el 3</w:t>
      </w:r>
      <w:r w:rsidR="00FF0EF4" w:rsidRPr="00BB53C0">
        <w:rPr>
          <w:rFonts w:ascii="Arial" w:hAnsi="Arial" w:cs="Arial"/>
          <w:sz w:val="24"/>
          <w:szCs w:val="24"/>
          <w:lang w:val="es-ES"/>
        </w:rPr>
        <w:t>2</w:t>
      </w:r>
      <w:r w:rsidRPr="00BB53C0">
        <w:rPr>
          <w:rFonts w:ascii="Arial" w:hAnsi="Arial" w:cs="Arial"/>
          <w:sz w:val="24"/>
          <w:szCs w:val="24"/>
          <w:lang w:val="es-ES"/>
        </w:rPr>
        <w:t xml:space="preserve">% fueron defensores públicos, </w:t>
      </w:r>
      <w:r w:rsidR="00466BE5" w:rsidRPr="00BB53C0">
        <w:rPr>
          <w:rFonts w:ascii="Arial" w:hAnsi="Arial" w:cs="Arial"/>
          <w:sz w:val="24"/>
          <w:szCs w:val="24"/>
          <w:lang w:val="es-ES"/>
        </w:rPr>
        <w:t>1</w:t>
      </w:r>
      <w:r w:rsidRPr="00BB53C0">
        <w:rPr>
          <w:rFonts w:ascii="Arial" w:hAnsi="Arial" w:cs="Arial"/>
          <w:sz w:val="24"/>
          <w:szCs w:val="24"/>
          <w:lang w:val="es-ES"/>
        </w:rPr>
        <w:t xml:space="preserve"> punto m</w:t>
      </w:r>
      <w:r w:rsidR="00466BE5" w:rsidRPr="00BB53C0">
        <w:rPr>
          <w:rFonts w:ascii="Arial" w:hAnsi="Arial" w:cs="Arial"/>
          <w:sz w:val="24"/>
          <w:szCs w:val="24"/>
          <w:lang w:val="es-ES"/>
        </w:rPr>
        <w:t>ás</w:t>
      </w:r>
      <w:r w:rsidRPr="00BB53C0">
        <w:rPr>
          <w:rFonts w:ascii="Arial" w:hAnsi="Arial" w:cs="Arial"/>
          <w:sz w:val="24"/>
          <w:szCs w:val="24"/>
          <w:lang w:val="es-ES"/>
        </w:rPr>
        <w:t xml:space="preserve"> que en el período anterior; el </w:t>
      </w:r>
      <w:r w:rsidR="00466BE5" w:rsidRPr="00BB53C0">
        <w:rPr>
          <w:rFonts w:ascii="Arial" w:hAnsi="Arial" w:cs="Arial"/>
          <w:sz w:val="24"/>
          <w:szCs w:val="24"/>
          <w:lang w:val="es-ES"/>
        </w:rPr>
        <w:t>29</w:t>
      </w:r>
      <w:r w:rsidRPr="00BB53C0">
        <w:rPr>
          <w:rFonts w:ascii="Arial" w:hAnsi="Arial" w:cs="Arial"/>
          <w:sz w:val="24"/>
          <w:szCs w:val="24"/>
          <w:lang w:val="es-ES"/>
        </w:rPr>
        <w:t xml:space="preserve">% de los intervinientes en casación fueron defensores privados, </w:t>
      </w:r>
      <w:r w:rsidR="00FF0EF4" w:rsidRPr="00BB53C0">
        <w:rPr>
          <w:rFonts w:ascii="Arial" w:hAnsi="Arial" w:cs="Arial"/>
          <w:sz w:val="24"/>
          <w:szCs w:val="24"/>
          <w:lang w:val="es-ES"/>
        </w:rPr>
        <w:t xml:space="preserve">igual que </w:t>
      </w:r>
      <w:r w:rsidRPr="00BB53C0">
        <w:rPr>
          <w:rFonts w:ascii="Arial" w:hAnsi="Arial" w:cs="Arial"/>
          <w:sz w:val="24"/>
          <w:szCs w:val="24"/>
          <w:lang w:val="es-ES"/>
        </w:rPr>
        <w:t>en el 201</w:t>
      </w:r>
      <w:r w:rsidR="00FF0EF4" w:rsidRPr="00BB53C0">
        <w:rPr>
          <w:rFonts w:ascii="Arial" w:hAnsi="Arial" w:cs="Arial"/>
          <w:sz w:val="24"/>
          <w:szCs w:val="24"/>
          <w:lang w:val="es-ES"/>
        </w:rPr>
        <w:t>9</w:t>
      </w:r>
      <w:r w:rsidRPr="00BB53C0">
        <w:rPr>
          <w:rFonts w:ascii="Arial" w:hAnsi="Arial" w:cs="Arial"/>
          <w:sz w:val="24"/>
          <w:szCs w:val="24"/>
          <w:lang w:val="es-ES"/>
        </w:rPr>
        <w:t xml:space="preserve">; el </w:t>
      </w:r>
      <w:r w:rsidR="00E84FF4" w:rsidRPr="00BB53C0">
        <w:rPr>
          <w:rFonts w:ascii="Arial" w:hAnsi="Arial" w:cs="Arial"/>
          <w:sz w:val="24"/>
          <w:szCs w:val="24"/>
          <w:lang w:val="es-ES"/>
        </w:rPr>
        <w:t>1</w:t>
      </w:r>
      <w:r w:rsidR="00466BE5" w:rsidRPr="00BB53C0">
        <w:rPr>
          <w:rFonts w:ascii="Arial" w:hAnsi="Arial" w:cs="Arial"/>
          <w:sz w:val="24"/>
          <w:szCs w:val="24"/>
          <w:lang w:val="es-ES"/>
        </w:rPr>
        <w:t>8</w:t>
      </w:r>
      <w:r w:rsidR="00E84FF4" w:rsidRPr="00BB53C0">
        <w:rPr>
          <w:rFonts w:ascii="Arial" w:hAnsi="Arial" w:cs="Arial"/>
          <w:sz w:val="24"/>
          <w:szCs w:val="24"/>
          <w:lang w:val="es-ES"/>
        </w:rPr>
        <w:t xml:space="preserve">% fueron del </w:t>
      </w:r>
      <w:r w:rsidRPr="00BB53C0">
        <w:rPr>
          <w:rFonts w:ascii="Arial" w:hAnsi="Arial" w:cs="Arial"/>
          <w:sz w:val="24"/>
          <w:szCs w:val="24"/>
          <w:lang w:val="es-ES"/>
        </w:rPr>
        <w:t>Ministerio Público</w:t>
      </w:r>
      <w:r w:rsidR="00E84FF4" w:rsidRPr="00BB53C0">
        <w:rPr>
          <w:rFonts w:ascii="Arial" w:hAnsi="Arial" w:cs="Arial"/>
          <w:sz w:val="24"/>
          <w:szCs w:val="24"/>
          <w:lang w:val="es-ES"/>
        </w:rPr>
        <w:t xml:space="preserve">, </w:t>
      </w:r>
      <w:r w:rsidR="00FF0EF4" w:rsidRPr="00BB53C0">
        <w:rPr>
          <w:rFonts w:ascii="Arial" w:hAnsi="Arial" w:cs="Arial"/>
          <w:sz w:val="24"/>
          <w:szCs w:val="24"/>
          <w:lang w:val="es-ES"/>
        </w:rPr>
        <w:t>mismo porcentaje del</w:t>
      </w:r>
      <w:r w:rsidR="00E84FF4" w:rsidRPr="00BB53C0">
        <w:rPr>
          <w:rFonts w:ascii="Arial" w:hAnsi="Arial" w:cs="Arial"/>
          <w:sz w:val="24"/>
          <w:szCs w:val="24"/>
          <w:lang w:val="es-ES"/>
        </w:rPr>
        <w:t xml:space="preserve"> año anterior; </w:t>
      </w:r>
      <w:r w:rsidRPr="00BB53C0">
        <w:rPr>
          <w:rFonts w:ascii="Arial" w:hAnsi="Arial" w:cs="Arial"/>
          <w:sz w:val="24"/>
          <w:szCs w:val="24"/>
          <w:lang w:val="es-ES"/>
        </w:rPr>
        <w:t>los imputados un 1</w:t>
      </w:r>
      <w:r w:rsidR="00FF0EF4" w:rsidRPr="00BB53C0">
        <w:rPr>
          <w:rFonts w:ascii="Arial" w:hAnsi="Arial" w:cs="Arial"/>
          <w:sz w:val="24"/>
          <w:szCs w:val="24"/>
          <w:lang w:val="es-ES"/>
        </w:rPr>
        <w:t>2</w:t>
      </w:r>
      <w:r w:rsidRPr="00BB53C0">
        <w:rPr>
          <w:rFonts w:ascii="Arial" w:hAnsi="Arial" w:cs="Arial"/>
          <w:sz w:val="24"/>
          <w:szCs w:val="24"/>
          <w:lang w:val="es-ES"/>
        </w:rPr>
        <w:t xml:space="preserve">%, </w:t>
      </w:r>
      <w:r w:rsidR="00FF0EF4" w:rsidRPr="00BB53C0">
        <w:rPr>
          <w:rFonts w:ascii="Arial" w:hAnsi="Arial" w:cs="Arial"/>
          <w:sz w:val="24"/>
          <w:szCs w:val="24"/>
          <w:lang w:val="es-ES"/>
        </w:rPr>
        <w:t>dos</w:t>
      </w:r>
      <w:r w:rsidRPr="00BB53C0">
        <w:rPr>
          <w:rFonts w:ascii="Arial" w:hAnsi="Arial" w:cs="Arial"/>
          <w:sz w:val="24"/>
          <w:szCs w:val="24"/>
          <w:lang w:val="es-ES"/>
        </w:rPr>
        <w:t xml:space="preserve"> puntos porcentuales m</w:t>
      </w:r>
      <w:r w:rsidR="00466BE5" w:rsidRPr="00BB53C0">
        <w:rPr>
          <w:rFonts w:ascii="Arial" w:hAnsi="Arial" w:cs="Arial"/>
          <w:sz w:val="24"/>
          <w:szCs w:val="24"/>
          <w:lang w:val="es-ES"/>
        </w:rPr>
        <w:t>enos</w:t>
      </w:r>
      <w:r w:rsidRPr="00BB53C0">
        <w:rPr>
          <w:rFonts w:ascii="Arial" w:hAnsi="Arial" w:cs="Arial"/>
          <w:sz w:val="24"/>
          <w:szCs w:val="24"/>
          <w:lang w:val="es-ES"/>
        </w:rPr>
        <w:t xml:space="preserve"> que en el 201</w:t>
      </w:r>
      <w:r w:rsidR="00FF0EF4" w:rsidRPr="00BB53C0">
        <w:rPr>
          <w:rFonts w:ascii="Arial" w:hAnsi="Arial" w:cs="Arial"/>
          <w:sz w:val="24"/>
          <w:szCs w:val="24"/>
          <w:lang w:val="es-ES"/>
        </w:rPr>
        <w:t>9</w:t>
      </w:r>
      <w:r w:rsidRPr="00BB53C0">
        <w:rPr>
          <w:rFonts w:ascii="Arial" w:hAnsi="Arial" w:cs="Arial"/>
          <w:sz w:val="24"/>
          <w:szCs w:val="24"/>
          <w:lang w:val="es-ES"/>
        </w:rPr>
        <w:t xml:space="preserve">; y, en otros un </w:t>
      </w:r>
      <w:r w:rsidR="00FF0EF4" w:rsidRPr="00BB53C0">
        <w:rPr>
          <w:rFonts w:ascii="Arial" w:hAnsi="Arial" w:cs="Arial"/>
          <w:sz w:val="24"/>
          <w:szCs w:val="24"/>
          <w:lang w:val="es-ES"/>
        </w:rPr>
        <w:t>9</w:t>
      </w:r>
      <w:r w:rsidRPr="00BB53C0">
        <w:rPr>
          <w:rFonts w:ascii="Arial" w:hAnsi="Arial" w:cs="Arial"/>
          <w:sz w:val="24"/>
          <w:szCs w:val="24"/>
          <w:lang w:val="es-ES"/>
        </w:rPr>
        <w:t xml:space="preserve">%, </w:t>
      </w:r>
      <w:r w:rsidR="00466BE5" w:rsidRPr="00BB53C0">
        <w:rPr>
          <w:rFonts w:ascii="Arial" w:hAnsi="Arial" w:cs="Arial"/>
          <w:sz w:val="24"/>
          <w:szCs w:val="24"/>
          <w:lang w:val="es-ES"/>
        </w:rPr>
        <w:t>un</w:t>
      </w:r>
      <w:r w:rsidRPr="00BB53C0">
        <w:rPr>
          <w:rFonts w:ascii="Arial" w:hAnsi="Arial" w:cs="Arial"/>
          <w:sz w:val="24"/>
          <w:szCs w:val="24"/>
          <w:lang w:val="es-ES"/>
        </w:rPr>
        <w:t xml:space="preserve"> punto </w:t>
      </w:r>
      <w:r w:rsidR="00E84FF4" w:rsidRPr="00BB53C0">
        <w:rPr>
          <w:rFonts w:ascii="Arial" w:hAnsi="Arial" w:cs="Arial"/>
          <w:sz w:val="24"/>
          <w:szCs w:val="24"/>
          <w:lang w:val="es-ES"/>
        </w:rPr>
        <w:t xml:space="preserve">porcentual </w:t>
      </w:r>
      <w:r w:rsidRPr="00BB53C0">
        <w:rPr>
          <w:rFonts w:ascii="Arial" w:hAnsi="Arial" w:cs="Arial"/>
          <w:sz w:val="24"/>
          <w:szCs w:val="24"/>
          <w:lang w:val="es-ES"/>
        </w:rPr>
        <w:t>m</w:t>
      </w:r>
      <w:r w:rsidR="00E84FF4" w:rsidRPr="00BB53C0">
        <w:rPr>
          <w:rFonts w:ascii="Arial" w:hAnsi="Arial" w:cs="Arial"/>
          <w:sz w:val="24"/>
          <w:szCs w:val="24"/>
          <w:lang w:val="es-ES"/>
        </w:rPr>
        <w:t>ás</w:t>
      </w:r>
      <w:r w:rsidRPr="00BB53C0">
        <w:rPr>
          <w:rFonts w:ascii="Arial" w:hAnsi="Arial" w:cs="Arial"/>
          <w:sz w:val="24"/>
          <w:szCs w:val="24"/>
          <w:lang w:val="es-ES"/>
        </w:rPr>
        <w:t xml:space="preserve"> que en el 201</w:t>
      </w:r>
      <w:r w:rsidR="00FF0EF4" w:rsidRPr="00BB53C0">
        <w:rPr>
          <w:rFonts w:ascii="Arial" w:hAnsi="Arial" w:cs="Arial"/>
          <w:sz w:val="24"/>
          <w:szCs w:val="24"/>
          <w:lang w:val="es-ES"/>
        </w:rPr>
        <w:t>9</w:t>
      </w:r>
      <w:r w:rsidRPr="00BB53C0">
        <w:rPr>
          <w:rFonts w:ascii="Arial" w:hAnsi="Arial" w:cs="Arial"/>
          <w:sz w:val="24"/>
          <w:szCs w:val="24"/>
          <w:lang w:val="es-ES"/>
        </w:rPr>
        <w:t>.</w:t>
      </w:r>
    </w:p>
    <w:p w14:paraId="77B1F492" w14:textId="6612DB7C" w:rsidR="0038750D" w:rsidRPr="00BB53C0" w:rsidRDefault="00E53861" w:rsidP="00E53861">
      <w:pPr>
        <w:spacing w:line="360" w:lineRule="auto"/>
        <w:jc w:val="both"/>
        <w:rPr>
          <w:rFonts w:ascii="Arial" w:hAnsi="Arial" w:cs="Arial"/>
          <w:sz w:val="24"/>
          <w:szCs w:val="24"/>
          <w:lang w:val="es-ES"/>
        </w:rPr>
      </w:pPr>
      <w:r w:rsidRPr="00BB53C0">
        <w:rPr>
          <w:rFonts w:ascii="Arial" w:hAnsi="Arial" w:cs="Arial"/>
          <w:noProof/>
        </w:rPr>
        <w:drawing>
          <wp:inline distT="0" distB="0" distL="0" distR="0" wp14:anchorId="7C7B11AA" wp14:editId="46DA5B95">
            <wp:extent cx="6096000" cy="4476750"/>
            <wp:effectExtent l="0" t="0" r="0" b="0"/>
            <wp:docPr id="48" name="Gráfico 48">
              <a:extLst xmlns:a="http://schemas.openxmlformats.org/drawingml/2006/main">
                <a:ext uri="{FF2B5EF4-FFF2-40B4-BE49-F238E27FC236}">
                  <a16:creationId xmlns:a16="http://schemas.microsoft.com/office/drawing/2014/main" id="{00000000-0008-0000-0400-0000252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27DD69" w14:textId="1E5987BF" w:rsidR="00746411" w:rsidRDefault="00746411" w:rsidP="00466BE5">
      <w:pPr>
        <w:spacing w:line="360" w:lineRule="auto"/>
        <w:jc w:val="both"/>
        <w:rPr>
          <w:rFonts w:ascii="Arial" w:hAnsi="Arial" w:cs="Arial"/>
          <w:sz w:val="24"/>
          <w:szCs w:val="24"/>
          <w:lang w:val="es-ES"/>
        </w:rPr>
      </w:pPr>
    </w:p>
    <w:p w14:paraId="6BB95997" w14:textId="77777777" w:rsidR="000E110E" w:rsidRPr="00BB53C0" w:rsidRDefault="000E110E" w:rsidP="00466BE5">
      <w:pPr>
        <w:spacing w:line="360" w:lineRule="auto"/>
        <w:jc w:val="both"/>
        <w:rPr>
          <w:rFonts w:ascii="Arial" w:hAnsi="Arial" w:cs="Arial"/>
          <w:sz w:val="24"/>
          <w:szCs w:val="24"/>
          <w:lang w:val="es-ES"/>
        </w:rPr>
      </w:pPr>
    </w:p>
    <w:p w14:paraId="1C8B6492" w14:textId="3BC10682" w:rsidR="00D958F4" w:rsidRPr="00BB53C0" w:rsidRDefault="00FF0EF4" w:rsidP="002F7058">
      <w:pPr>
        <w:pStyle w:val="Ttulo3"/>
        <w:spacing w:line="360" w:lineRule="auto"/>
        <w:rPr>
          <w:rFonts w:cs="Arial"/>
          <w:sz w:val="24"/>
          <w:szCs w:val="24"/>
        </w:rPr>
      </w:pPr>
      <w:bookmarkStart w:id="6" w:name="_Toc510690302"/>
      <w:r w:rsidRPr="00BB53C0">
        <w:rPr>
          <w:rFonts w:cs="Arial"/>
          <w:sz w:val="24"/>
          <w:szCs w:val="24"/>
        </w:rPr>
        <w:lastRenderedPageBreak/>
        <w:t>T</w:t>
      </w:r>
      <w:r w:rsidR="007133E9" w:rsidRPr="00BB53C0">
        <w:rPr>
          <w:rFonts w:cs="Arial"/>
          <w:sz w:val="24"/>
          <w:szCs w:val="24"/>
        </w:rPr>
        <w:t>otal</w:t>
      </w:r>
      <w:r w:rsidR="00D958F4" w:rsidRPr="00BB53C0">
        <w:rPr>
          <w:rFonts w:cs="Arial"/>
          <w:sz w:val="24"/>
          <w:szCs w:val="24"/>
        </w:rPr>
        <w:t xml:space="preserve"> de recurrentes intervinientes en los </w:t>
      </w:r>
      <w:r w:rsidR="007133E9" w:rsidRPr="00BB53C0">
        <w:rPr>
          <w:rFonts w:cs="Arial"/>
          <w:sz w:val="24"/>
          <w:szCs w:val="24"/>
        </w:rPr>
        <w:t>asuntos</w:t>
      </w:r>
      <w:r w:rsidR="00D958F4" w:rsidRPr="00BB53C0">
        <w:rPr>
          <w:rFonts w:cs="Arial"/>
          <w:sz w:val="24"/>
          <w:szCs w:val="24"/>
        </w:rPr>
        <w:t xml:space="preserve"> entrados</w:t>
      </w:r>
      <w:r w:rsidR="007133E9" w:rsidRPr="00BB53C0">
        <w:rPr>
          <w:rFonts w:cs="Arial"/>
          <w:sz w:val="24"/>
          <w:szCs w:val="24"/>
        </w:rPr>
        <w:t xml:space="preserve"> por procedimientos</w:t>
      </w:r>
      <w:r w:rsidR="00D958F4" w:rsidRPr="00BB53C0">
        <w:rPr>
          <w:rFonts w:cs="Arial"/>
          <w:sz w:val="24"/>
          <w:szCs w:val="24"/>
        </w:rPr>
        <w:t xml:space="preserve"> de revisión.</w:t>
      </w:r>
      <w:bookmarkEnd w:id="6"/>
    </w:p>
    <w:p w14:paraId="2A9DF10F" w14:textId="77777777" w:rsidR="005734AC" w:rsidRPr="00BB53C0" w:rsidRDefault="005734AC" w:rsidP="002F7058">
      <w:pPr>
        <w:spacing w:line="360" w:lineRule="auto"/>
        <w:ind w:firstLine="708"/>
        <w:jc w:val="both"/>
        <w:rPr>
          <w:rFonts w:ascii="Arial" w:hAnsi="Arial" w:cs="Arial"/>
          <w:sz w:val="24"/>
          <w:szCs w:val="24"/>
          <w:lang w:val="es-ES"/>
        </w:rPr>
      </w:pPr>
    </w:p>
    <w:p w14:paraId="4060EBD0" w14:textId="4CAC2033" w:rsidR="00FF0EF4" w:rsidRPr="00BB53C0" w:rsidRDefault="00D958F4"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 xml:space="preserve">En cuanto procedimientos de revisión, se tiene que el </w:t>
      </w:r>
      <w:r w:rsidR="00FF0EF4" w:rsidRPr="00BB53C0">
        <w:rPr>
          <w:rFonts w:ascii="Arial" w:hAnsi="Arial" w:cs="Arial"/>
          <w:sz w:val="24"/>
          <w:szCs w:val="24"/>
          <w:lang w:val="es-ES"/>
        </w:rPr>
        <w:t>87</w:t>
      </w:r>
      <w:r w:rsidRPr="00BB53C0">
        <w:rPr>
          <w:rFonts w:ascii="Arial" w:hAnsi="Arial" w:cs="Arial"/>
          <w:sz w:val="24"/>
          <w:szCs w:val="24"/>
          <w:lang w:val="es-ES"/>
        </w:rPr>
        <w:t xml:space="preserve">% fueron presentados por los imputados, </w:t>
      </w:r>
      <w:r w:rsidR="00FF0EF4" w:rsidRPr="00BB53C0">
        <w:rPr>
          <w:rFonts w:ascii="Arial" w:hAnsi="Arial" w:cs="Arial"/>
          <w:sz w:val="24"/>
          <w:szCs w:val="24"/>
          <w:lang w:val="es-ES"/>
        </w:rPr>
        <w:t xml:space="preserve">10 </w:t>
      </w:r>
      <w:r w:rsidRPr="00BB53C0">
        <w:rPr>
          <w:rFonts w:ascii="Arial" w:hAnsi="Arial" w:cs="Arial"/>
          <w:sz w:val="24"/>
          <w:szCs w:val="24"/>
          <w:lang w:val="es-ES"/>
        </w:rPr>
        <w:t>punto</w:t>
      </w:r>
      <w:r w:rsidR="00140D37" w:rsidRPr="00BB53C0">
        <w:rPr>
          <w:rFonts w:ascii="Arial" w:hAnsi="Arial" w:cs="Arial"/>
          <w:sz w:val="24"/>
          <w:szCs w:val="24"/>
          <w:lang w:val="es-ES"/>
        </w:rPr>
        <w:t>s</w:t>
      </w:r>
      <w:r w:rsidRPr="00BB53C0">
        <w:rPr>
          <w:rFonts w:ascii="Arial" w:hAnsi="Arial" w:cs="Arial"/>
          <w:sz w:val="24"/>
          <w:szCs w:val="24"/>
          <w:lang w:val="es-ES"/>
        </w:rPr>
        <w:t xml:space="preserve"> porcentual </w:t>
      </w:r>
      <w:r w:rsidR="00FF0EF4" w:rsidRPr="00BB53C0">
        <w:rPr>
          <w:rFonts w:ascii="Arial" w:hAnsi="Arial" w:cs="Arial"/>
          <w:sz w:val="24"/>
          <w:szCs w:val="24"/>
          <w:lang w:val="es-ES"/>
        </w:rPr>
        <w:t>más</w:t>
      </w:r>
      <w:r w:rsidRPr="00BB53C0">
        <w:rPr>
          <w:rFonts w:ascii="Arial" w:hAnsi="Arial" w:cs="Arial"/>
          <w:sz w:val="24"/>
          <w:szCs w:val="24"/>
          <w:lang w:val="es-ES"/>
        </w:rPr>
        <w:t xml:space="preserve"> que en el 201</w:t>
      </w:r>
      <w:r w:rsidR="00FF0EF4" w:rsidRPr="00BB53C0">
        <w:rPr>
          <w:rFonts w:ascii="Arial" w:hAnsi="Arial" w:cs="Arial"/>
          <w:sz w:val="24"/>
          <w:szCs w:val="24"/>
          <w:lang w:val="es-ES"/>
        </w:rPr>
        <w:t>9</w:t>
      </w:r>
      <w:r w:rsidRPr="00BB53C0">
        <w:rPr>
          <w:rFonts w:ascii="Arial" w:hAnsi="Arial" w:cs="Arial"/>
          <w:sz w:val="24"/>
          <w:szCs w:val="24"/>
          <w:lang w:val="es-ES"/>
        </w:rPr>
        <w:t>; el</w:t>
      </w:r>
      <w:r w:rsidR="00FF0EF4" w:rsidRPr="00BB53C0">
        <w:rPr>
          <w:rFonts w:ascii="Arial" w:hAnsi="Arial" w:cs="Arial"/>
          <w:sz w:val="24"/>
          <w:szCs w:val="24"/>
          <w:lang w:val="es-ES"/>
        </w:rPr>
        <w:t xml:space="preserve"> 10</w:t>
      </w:r>
      <w:r w:rsidRPr="00BB53C0">
        <w:rPr>
          <w:rFonts w:ascii="Arial" w:hAnsi="Arial" w:cs="Arial"/>
          <w:sz w:val="24"/>
          <w:szCs w:val="24"/>
          <w:lang w:val="es-ES"/>
        </w:rPr>
        <w:t xml:space="preserve">% por defensores privados, </w:t>
      </w:r>
      <w:r w:rsidR="00FF0EF4" w:rsidRPr="00BB53C0">
        <w:rPr>
          <w:rFonts w:ascii="Arial" w:hAnsi="Arial" w:cs="Arial"/>
          <w:sz w:val="24"/>
          <w:szCs w:val="24"/>
          <w:lang w:val="es-ES"/>
        </w:rPr>
        <w:t>3</w:t>
      </w:r>
      <w:r w:rsidRPr="00BB53C0">
        <w:rPr>
          <w:rFonts w:ascii="Arial" w:hAnsi="Arial" w:cs="Arial"/>
          <w:sz w:val="24"/>
          <w:szCs w:val="24"/>
          <w:lang w:val="es-ES"/>
        </w:rPr>
        <w:t xml:space="preserve"> punto</w:t>
      </w:r>
      <w:r w:rsidR="00140D37" w:rsidRPr="00BB53C0">
        <w:rPr>
          <w:rFonts w:ascii="Arial" w:hAnsi="Arial" w:cs="Arial"/>
          <w:sz w:val="24"/>
          <w:szCs w:val="24"/>
          <w:lang w:val="es-ES"/>
        </w:rPr>
        <w:t>s</w:t>
      </w:r>
      <w:r w:rsidRPr="00BB53C0">
        <w:rPr>
          <w:rFonts w:ascii="Arial" w:hAnsi="Arial" w:cs="Arial"/>
          <w:sz w:val="24"/>
          <w:szCs w:val="24"/>
          <w:lang w:val="es-ES"/>
        </w:rPr>
        <w:t xml:space="preserve"> </w:t>
      </w:r>
      <w:r w:rsidR="00FF0EF4" w:rsidRPr="00BB53C0">
        <w:rPr>
          <w:rFonts w:ascii="Arial" w:hAnsi="Arial" w:cs="Arial"/>
          <w:sz w:val="24"/>
          <w:szCs w:val="24"/>
          <w:lang w:val="es-ES"/>
        </w:rPr>
        <w:t>menos</w:t>
      </w:r>
      <w:r w:rsidRPr="00BB53C0">
        <w:rPr>
          <w:rFonts w:ascii="Arial" w:hAnsi="Arial" w:cs="Arial"/>
          <w:sz w:val="24"/>
          <w:szCs w:val="24"/>
          <w:lang w:val="es-ES"/>
        </w:rPr>
        <w:t xml:space="preserve"> que en el período anterior; el </w:t>
      </w:r>
      <w:r w:rsidR="00FF0EF4" w:rsidRPr="00BB53C0">
        <w:rPr>
          <w:rFonts w:ascii="Arial" w:hAnsi="Arial" w:cs="Arial"/>
          <w:sz w:val="24"/>
          <w:szCs w:val="24"/>
          <w:lang w:val="es-ES"/>
        </w:rPr>
        <w:t>2</w:t>
      </w:r>
      <w:r w:rsidRPr="00BB53C0">
        <w:rPr>
          <w:rFonts w:ascii="Arial" w:hAnsi="Arial" w:cs="Arial"/>
          <w:sz w:val="24"/>
          <w:szCs w:val="24"/>
          <w:lang w:val="es-ES"/>
        </w:rPr>
        <w:t xml:space="preserve">% por parte de defensores públicos, </w:t>
      </w:r>
      <w:r w:rsidR="00270898" w:rsidRPr="00BB53C0">
        <w:rPr>
          <w:rFonts w:ascii="Arial" w:hAnsi="Arial" w:cs="Arial"/>
          <w:sz w:val="24"/>
          <w:szCs w:val="24"/>
          <w:lang w:val="es-ES"/>
        </w:rPr>
        <w:t>7</w:t>
      </w:r>
      <w:r w:rsidR="00140D37" w:rsidRPr="00BB53C0">
        <w:rPr>
          <w:rFonts w:ascii="Arial" w:hAnsi="Arial" w:cs="Arial"/>
          <w:sz w:val="24"/>
          <w:szCs w:val="24"/>
          <w:lang w:val="es-ES"/>
        </w:rPr>
        <w:t xml:space="preserve"> puntos </w:t>
      </w:r>
      <w:r w:rsidR="00270898" w:rsidRPr="00BB53C0">
        <w:rPr>
          <w:rFonts w:ascii="Arial" w:hAnsi="Arial" w:cs="Arial"/>
          <w:sz w:val="24"/>
          <w:szCs w:val="24"/>
          <w:lang w:val="es-ES"/>
        </w:rPr>
        <w:t>menos</w:t>
      </w:r>
      <w:r w:rsidRPr="00BB53C0">
        <w:rPr>
          <w:rFonts w:ascii="Arial" w:hAnsi="Arial" w:cs="Arial"/>
          <w:sz w:val="24"/>
          <w:szCs w:val="24"/>
          <w:lang w:val="es-ES"/>
        </w:rPr>
        <w:t xml:space="preserve"> al año anterior, y; el </w:t>
      </w:r>
      <w:r w:rsidR="007F2685" w:rsidRPr="00BB53C0">
        <w:rPr>
          <w:rFonts w:ascii="Arial" w:hAnsi="Arial" w:cs="Arial"/>
          <w:sz w:val="24"/>
          <w:szCs w:val="24"/>
          <w:lang w:val="es-ES"/>
        </w:rPr>
        <w:t>1</w:t>
      </w:r>
      <w:r w:rsidRPr="00BB53C0">
        <w:rPr>
          <w:rFonts w:ascii="Arial" w:hAnsi="Arial" w:cs="Arial"/>
          <w:sz w:val="24"/>
          <w:szCs w:val="24"/>
          <w:lang w:val="es-ES"/>
        </w:rPr>
        <w:t xml:space="preserve">% en otros recurrentes, </w:t>
      </w:r>
      <w:r w:rsidR="00270898" w:rsidRPr="00BB53C0">
        <w:rPr>
          <w:rFonts w:ascii="Arial" w:hAnsi="Arial" w:cs="Arial"/>
          <w:sz w:val="24"/>
          <w:szCs w:val="24"/>
          <w:lang w:val="es-ES"/>
        </w:rPr>
        <w:t>mismo porcentaje que e</w:t>
      </w:r>
      <w:r w:rsidRPr="00BB53C0">
        <w:rPr>
          <w:rFonts w:ascii="Arial" w:hAnsi="Arial" w:cs="Arial"/>
          <w:sz w:val="24"/>
          <w:szCs w:val="24"/>
          <w:lang w:val="es-ES"/>
        </w:rPr>
        <w:t>l año 201</w:t>
      </w:r>
      <w:r w:rsidR="00270898" w:rsidRPr="00BB53C0">
        <w:rPr>
          <w:rFonts w:ascii="Arial" w:hAnsi="Arial" w:cs="Arial"/>
          <w:sz w:val="24"/>
          <w:szCs w:val="24"/>
          <w:lang w:val="es-ES"/>
        </w:rPr>
        <w:t>9</w:t>
      </w:r>
      <w:r w:rsidRPr="00BB53C0">
        <w:rPr>
          <w:rFonts w:ascii="Arial" w:hAnsi="Arial" w:cs="Arial"/>
          <w:sz w:val="24"/>
          <w:szCs w:val="24"/>
          <w:lang w:val="es-ES"/>
        </w:rPr>
        <w:t>.</w:t>
      </w:r>
    </w:p>
    <w:p w14:paraId="59C1399D" w14:textId="0BF79FC4" w:rsidR="0038750D" w:rsidRPr="00BB53C0" w:rsidRDefault="00E53861" w:rsidP="00E53861">
      <w:pPr>
        <w:spacing w:line="360" w:lineRule="auto"/>
        <w:jc w:val="both"/>
        <w:rPr>
          <w:rFonts w:ascii="Arial" w:hAnsi="Arial" w:cs="Arial"/>
          <w:sz w:val="24"/>
          <w:szCs w:val="24"/>
          <w:lang w:val="es-ES"/>
        </w:rPr>
      </w:pPr>
      <w:r w:rsidRPr="00BB53C0">
        <w:rPr>
          <w:rFonts w:ascii="Arial" w:hAnsi="Arial" w:cs="Arial"/>
          <w:noProof/>
        </w:rPr>
        <w:drawing>
          <wp:inline distT="0" distB="0" distL="0" distR="0" wp14:anchorId="35B8D0CF" wp14:editId="671370F2">
            <wp:extent cx="6164580" cy="5135880"/>
            <wp:effectExtent l="0" t="0" r="7620" b="7620"/>
            <wp:docPr id="49" name="Gráfico 49">
              <a:extLst xmlns:a="http://schemas.openxmlformats.org/drawingml/2006/main">
                <a:ext uri="{FF2B5EF4-FFF2-40B4-BE49-F238E27FC236}">
                  <a16:creationId xmlns:a16="http://schemas.microsoft.com/office/drawing/2014/main" id="{00000000-0008-0000-0500-0000253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C30B4E" w14:textId="77777777" w:rsidR="009410F7" w:rsidRPr="00BB53C0" w:rsidRDefault="009410F7" w:rsidP="002A12BB">
      <w:pPr>
        <w:spacing w:line="360" w:lineRule="auto"/>
        <w:jc w:val="both"/>
        <w:rPr>
          <w:rFonts w:ascii="Arial" w:hAnsi="Arial" w:cs="Arial"/>
          <w:b/>
          <w:sz w:val="24"/>
          <w:szCs w:val="24"/>
          <w:lang w:val="es-ES"/>
        </w:rPr>
      </w:pPr>
    </w:p>
    <w:p w14:paraId="1D95AD25" w14:textId="77777777" w:rsidR="00D958F4" w:rsidRPr="00BB53C0" w:rsidRDefault="00D958F4" w:rsidP="002F7058">
      <w:pPr>
        <w:pStyle w:val="Ttulo2"/>
        <w:spacing w:line="360" w:lineRule="auto"/>
        <w:rPr>
          <w:rFonts w:cs="Arial"/>
          <w:sz w:val="24"/>
          <w:szCs w:val="24"/>
        </w:rPr>
      </w:pPr>
      <w:bookmarkStart w:id="7" w:name="_Toc510690304"/>
      <w:r w:rsidRPr="00BB53C0">
        <w:rPr>
          <w:rFonts w:cs="Arial"/>
          <w:sz w:val="24"/>
          <w:szCs w:val="24"/>
        </w:rPr>
        <w:lastRenderedPageBreak/>
        <w:t>Asuntos resueltos.</w:t>
      </w:r>
      <w:bookmarkEnd w:id="7"/>
    </w:p>
    <w:p w14:paraId="122016F2" w14:textId="77777777" w:rsidR="00D958F4" w:rsidRPr="00BB53C0" w:rsidRDefault="007133E9" w:rsidP="002F7058">
      <w:pPr>
        <w:pStyle w:val="Ttulo3"/>
        <w:spacing w:line="360" w:lineRule="auto"/>
        <w:rPr>
          <w:rFonts w:cs="Arial"/>
          <w:sz w:val="24"/>
          <w:szCs w:val="24"/>
        </w:rPr>
      </w:pPr>
      <w:bookmarkStart w:id="8" w:name="_Toc510690305"/>
      <w:r w:rsidRPr="00BB53C0">
        <w:rPr>
          <w:rFonts w:cs="Arial"/>
          <w:sz w:val="24"/>
          <w:szCs w:val="24"/>
        </w:rPr>
        <w:t>Total a</w:t>
      </w:r>
      <w:r w:rsidR="00D958F4" w:rsidRPr="00BB53C0">
        <w:rPr>
          <w:rFonts w:cs="Arial"/>
          <w:sz w:val="24"/>
          <w:szCs w:val="24"/>
        </w:rPr>
        <w:t>suntos resueltos por tipo de resolución.</w:t>
      </w:r>
      <w:bookmarkEnd w:id="8"/>
    </w:p>
    <w:p w14:paraId="741D05B9" w14:textId="77777777" w:rsidR="00813252" w:rsidRPr="00BB53C0" w:rsidRDefault="00813252" w:rsidP="002F7058">
      <w:pPr>
        <w:spacing w:line="360" w:lineRule="auto"/>
        <w:ind w:firstLine="708"/>
        <w:jc w:val="both"/>
        <w:rPr>
          <w:rFonts w:ascii="Arial" w:hAnsi="Arial" w:cs="Arial"/>
          <w:sz w:val="24"/>
          <w:szCs w:val="24"/>
          <w:lang w:val="es-ES"/>
        </w:rPr>
      </w:pPr>
    </w:p>
    <w:p w14:paraId="187172CF" w14:textId="41F680D8" w:rsidR="00D958F4" w:rsidRPr="00BB53C0" w:rsidRDefault="00D958F4" w:rsidP="002F7058">
      <w:pPr>
        <w:spacing w:line="360" w:lineRule="auto"/>
        <w:ind w:firstLine="708"/>
        <w:jc w:val="both"/>
        <w:rPr>
          <w:rFonts w:ascii="Arial" w:hAnsi="Arial" w:cs="Arial"/>
          <w:sz w:val="24"/>
          <w:szCs w:val="24"/>
          <w:lang w:val="es-ES"/>
        </w:rPr>
      </w:pPr>
      <w:r w:rsidRPr="00BB53C0">
        <w:rPr>
          <w:rFonts w:ascii="Arial" w:hAnsi="Arial" w:cs="Arial"/>
          <w:sz w:val="24"/>
          <w:szCs w:val="24"/>
          <w:lang w:val="es-ES"/>
        </w:rPr>
        <w:t>En el período 20</w:t>
      </w:r>
      <w:r w:rsidR="009A237B" w:rsidRPr="00BB53C0">
        <w:rPr>
          <w:rFonts w:ascii="Arial" w:hAnsi="Arial" w:cs="Arial"/>
          <w:sz w:val="24"/>
          <w:szCs w:val="24"/>
          <w:lang w:val="es-ES"/>
        </w:rPr>
        <w:t>20</w:t>
      </w:r>
      <w:r w:rsidRPr="00BB53C0">
        <w:rPr>
          <w:rFonts w:ascii="Arial" w:hAnsi="Arial" w:cs="Arial"/>
          <w:sz w:val="24"/>
          <w:szCs w:val="24"/>
          <w:lang w:val="es-ES"/>
        </w:rPr>
        <w:t xml:space="preserve">, el </w:t>
      </w:r>
      <w:r w:rsidR="009A237B" w:rsidRPr="00BB53C0">
        <w:rPr>
          <w:rFonts w:ascii="Arial" w:hAnsi="Arial" w:cs="Arial"/>
          <w:sz w:val="24"/>
          <w:szCs w:val="24"/>
          <w:lang w:val="es-ES"/>
        </w:rPr>
        <w:t>10</w:t>
      </w:r>
      <w:r w:rsidRPr="00BB53C0">
        <w:rPr>
          <w:rFonts w:ascii="Arial" w:hAnsi="Arial" w:cs="Arial"/>
          <w:sz w:val="24"/>
          <w:szCs w:val="24"/>
          <w:lang w:val="es-ES"/>
        </w:rPr>
        <w:t xml:space="preserve">% de los asuntos fue declarado con lugar, lo que muestra un </w:t>
      </w:r>
      <w:r w:rsidR="005B60D4" w:rsidRPr="00BB53C0">
        <w:rPr>
          <w:rFonts w:ascii="Arial" w:hAnsi="Arial" w:cs="Arial"/>
          <w:sz w:val="24"/>
          <w:szCs w:val="24"/>
          <w:lang w:val="es-ES"/>
        </w:rPr>
        <w:t>aumento</w:t>
      </w:r>
      <w:r w:rsidRPr="00BB53C0">
        <w:rPr>
          <w:rFonts w:ascii="Arial" w:hAnsi="Arial" w:cs="Arial"/>
          <w:sz w:val="24"/>
          <w:szCs w:val="24"/>
          <w:lang w:val="es-ES"/>
        </w:rPr>
        <w:t xml:space="preserve"> de </w:t>
      </w:r>
      <w:r w:rsidR="009A237B" w:rsidRPr="00BB53C0">
        <w:rPr>
          <w:rFonts w:ascii="Arial" w:hAnsi="Arial" w:cs="Arial"/>
          <w:sz w:val="24"/>
          <w:szCs w:val="24"/>
          <w:lang w:val="es-ES"/>
        </w:rPr>
        <w:t>1</w:t>
      </w:r>
      <w:r w:rsidRPr="00BB53C0">
        <w:rPr>
          <w:rFonts w:ascii="Arial" w:hAnsi="Arial" w:cs="Arial"/>
          <w:sz w:val="24"/>
          <w:szCs w:val="24"/>
          <w:lang w:val="es-ES"/>
        </w:rPr>
        <w:t xml:space="preserve"> punto porcentual respecto al período 201</w:t>
      </w:r>
      <w:r w:rsidR="009A237B" w:rsidRPr="00BB53C0">
        <w:rPr>
          <w:rFonts w:ascii="Arial" w:hAnsi="Arial" w:cs="Arial"/>
          <w:sz w:val="24"/>
          <w:szCs w:val="24"/>
          <w:lang w:val="es-ES"/>
        </w:rPr>
        <w:t>9</w:t>
      </w:r>
      <w:r w:rsidRPr="00BB53C0">
        <w:rPr>
          <w:rFonts w:ascii="Arial" w:hAnsi="Arial" w:cs="Arial"/>
          <w:sz w:val="24"/>
          <w:szCs w:val="24"/>
          <w:lang w:val="es-ES"/>
        </w:rPr>
        <w:t xml:space="preserve">. En los asuntos declarados sin lugar, el dato muestra un </w:t>
      </w:r>
      <w:r w:rsidR="005B60D4" w:rsidRPr="00BB53C0">
        <w:rPr>
          <w:rFonts w:ascii="Arial" w:hAnsi="Arial" w:cs="Arial"/>
          <w:sz w:val="24"/>
          <w:szCs w:val="24"/>
          <w:lang w:val="es-ES"/>
        </w:rPr>
        <w:t>1</w:t>
      </w:r>
      <w:r w:rsidR="009A237B" w:rsidRPr="00BB53C0">
        <w:rPr>
          <w:rFonts w:ascii="Arial" w:hAnsi="Arial" w:cs="Arial"/>
          <w:sz w:val="24"/>
          <w:szCs w:val="24"/>
          <w:lang w:val="es-ES"/>
        </w:rPr>
        <w:t>1</w:t>
      </w:r>
      <w:r w:rsidRPr="00BB53C0">
        <w:rPr>
          <w:rFonts w:ascii="Arial" w:hAnsi="Arial" w:cs="Arial"/>
          <w:sz w:val="24"/>
          <w:szCs w:val="24"/>
          <w:lang w:val="es-ES"/>
        </w:rPr>
        <w:t xml:space="preserve">%, </w:t>
      </w:r>
      <w:r w:rsidR="009A237B" w:rsidRPr="00BB53C0">
        <w:rPr>
          <w:rFonts w:ascii="Arial" w:hAnsi="Arial" w:cs="Arial"/>
          <w:sz w:val="24"/>
          <w:szCs w:val="24"/>
          <w:lang w:val="es-ES"/>
        </w:rPr>
        <w:t>dos</w:t>
      </w:r>
      <w:r w:rsidRPr="00BB53C0">
        <w:rPr>
          <w:rFonts w:ascii="Arial" w:hAnsi="Arial" w:cs="Arial"/>
          <w:sz w:val="24"/>
          <w:szCs w:val="24"/>
          <w:lang w:val="es-ES"/>
        </w:rPr>
        <w:t xml:space="preserve"> punto</w:t>
      </w:r>
      <w:r w:rsidR="005B60D4" w:rsidRPr="00BB53C0">
        <w:rPr>
          <w:rFonts w:ascii="Arial" w:hAnsi="Arial" w:cs="Arial"/>
          <w:sz w:val="24"/>
          <w:szCs w:val="24"/>
          <w:lang w:val="es-ES"/>
        </w:rPr>
        <w:t>s</w:t>
      </w:r>
      <w:r w:rsidRPr="00BB53C0">
        <w:rPr>
          <w:rFonts w:ascii="Arial" w:hAnsi="Arial" w:cs="Arial"/>
          <w:sz w:val="24"/>
          <w:szCs w:val="24"/>
          <w:lang w:val="es-ES"/>
        </w:rPr>
        <w:t xml:space="preserve"> porcentual</w:t>
      </w:r>
      <w:r w:rsidR="005B60D4" w:rsidRPr="00BB53C0">
        <w:rPr>
          <w:rFonts w:ascii="Arial" w:hAnsi="Arial" w:cs="Arial"/>
          <w:sz w:val="24"/>
          <w:szCs w:val="24"/>
          <w:lang w:val="es-ES"/>
        </w:rPr>
        <w:t>es</w:t>
      </w:r>
      <w:r w:rsidRPr="00BB53C0">
        <w:rPr>
          <w:rFonts w:ascii="Arial" w:hAnsi="Arial" w:cs="Arial"/>
          <w:sz w:val="24"/>
          <w:szCs w:val="24"/>
          <w:lang w:val="es-ES"/>
        </w:rPr>
        <w:t xml:space="preserve"> </w:t>
      </w:r>
      <w:r w:rsidR="009A237B" w:rsidRPr="00BB53C0">
        <w:rPr>
          <w:rFonts w:ascii="Arial" w:hAnsi="Arial" w:cs="Arial"/>
          <w:sz w:val="24"/>
          <w:szCs w:val="24"/>
          <w:lang w:val="es-ES"/>
        </w:rPr>
        <w:t>menos</w:t>
      </w:r>
      <w:r w:rsidRPr="00BB53C0">
        <w:rPr>
          <w:rFonts w:ascii="Arial" w:hAnsi="Arial" w:cs="Arial"/>
          <w:sz w:val="24"/>
          <w:szCs w:val="24"/>
          <w:lang w:val="es-ES"/>
        </w:rPr>
        <w:t xml:space="preserve"> con respecto al período anterior; los inadmisibles llegaron a un </w:t>
      </w:r>
      <w:r w:rsidR="005B60D4" w:rsidRPr="00BB53C0">
        <w:rPr>
          <w:rFonts w:ascii="Arial" w:hAnsi="Arial" w:cs="Arial"/>
          <w:sz w:val="24"/>
          <w:szCs w:val="24"/>
          <w:lang w:val="es-ES"/>
        </w:rPr>
        <w:t>6</w:t>
      </w:r>
      <w:r w:rsidR="009A237B" w:rsidRPr="00BB53C0">
        <w:rPr>
          <w:rFonts w:ascii="Arial" w:hAnsi="Arial" w:cs="Arial"/>
          <w:sz w:val="24"/>
          <w:szCs w:val="24"/>
          <w:lang w:val="es-ES"/>
        </w:rPr>
        <w:t>1</w:t>
      </w:r>
      <w:r w:rsidRPr="00BB53C0">
        <w:rPr>
          <w:rFonts w:ascii="Arial" w:hAnsi="Arial" w:cs="Arial"/>
          <w:sz w:val="24"/>
          <w:szCs w:val="24"/>
          <w:lang w:val="es-ES"/>
        </w:rPr>
        <w:t xml:space="preserve"> %, </w:t>
      </w:r>
      <w:r w:rsidR="00A2655A" w:rsidRPr="00BB53C0">
        <w:rPr>
          <w:rFonts w:ascii="Arial" w:hAnsi="Arial" w:cs="Arial"/>
          <w:sz w:val="24"/>
          <w:szCs w:val="24"/>
          <w:lang w:val="es-ES"/>
        </w:rPr>
        <w:t>disminuyendo</w:t>
      </w:r>
      <w:r w:rsidRPr="00BB53C0">
        <w:rPr>
          <w:rFonts w:ascii="Arial" w:hAnsi="Arial" w:cs="Arial"/>
          <w:sz w:val="24"/>
          <w:szCs w:val="24"/>
          <w:lang w:val="es-ES"/>
        </w:rPr>
        <w:t xml:space="preserve"> un </w:t>
      </w:r>
      <w:r w:rsidR="009A237B" w:rsidRPr="00BB53C0">
        <w:rPr>
          <w:rFonts w:ascii="Arial" w:hAnsi="Arial" w:cs="Arial"/>
          <w:sz w:val="24"/>
          <w:szCs w:val="24"/>
          <w:lang w:val="es-ES"/>
        </w:rPr>
        <w:t>5</w:t>
      </w:r>
      <w:r w:rsidRPr="00BB53C0">
        <w:rPr>
          <w:rFonts w:ascii="Arial" w:hAnsi="Arial" w:cs="Arial"/>
          <w:sz w:val="24"/>
          <w:szCs w:val="24"/>
          <w:lang w:val="es-ES"/>
        </w:rPr>
        <w:t>% respecto del 201</w:t>
      </w:r>
      <w:r w:rsidR="009A237B" w:rsidRPr="00BB53C0">
        <w:rPr>
          <w:rFonts w:ascii="Arial" w:hAnsi="Arial" w:cs="Arial"/>
          <w:sz w:val="24"/>
          <w:szCs w:val="24"/>
          <w:lang w:val="es-ES"/>
        </w:rPr>
        <w:t>9</w:t>
      </w:r>
      <w:r w:rsidRPr="00BB53C0">
        <w:rPr>
          <w:rFonts w:ascii="Arial" w:hAnsi="Arial" w:cs="Arial"/>
          <w:sz w:val="24"/>
          <w:szCs w:val="24"/>
          <w:lang w:val="es-ES"/>
        </w:rPr>
        <w:t xml:space="preserve"> y en cuanto a asuntos resueltos con otro tipo de resolución se obtuvo un </w:t>
      </w:r>
      <w:r w:rsidR="00A2655A" w:rsidRPr="00BB53C0">
        <w:rPr>
          <w:rFonts w:ascii="Arial" w:hAnsi="Arial" w:cs="Arial"/>
          <w:sz w:val="24"/>
          <w:szCs w:val="24"/>
          <w:lang w:val="es-ES"/>
        </w:rPr>
        <w:t>1</w:t>
      </w:r>
      <w:r w:rsidR="009A237B" w:rsidRPr="00BB53C0">
        <w:rPr>
          <w:rFonts w:ascii="Arial" w:hAnsi="Arial" w:cs="Arial"/>
          <w:sz w:val="24"/>
          <w:szCs w:val="24"/>
          <w:lang w:val="es-ES"/>
        </w:rPr>
        <w:t>8</w:t>
      </w:r>
      <w:r w:rsidRPr="00BB53C0">
        <w:rPr>
          <w:rFonts w:ascii="Arial" w:hAnsi="Arial" w:cs="Arial"/>
          <w:sz w:val="24"/>
          <w:szCs w:val="24"/>
          <w:lang w:val="es-ES"/>
        </w:rPr>
        <w:t>% que significa</w:t>
      </w:r>
      <w:r w:rsidR="009A237B" w:rsidRPr="00BB53C0">
        <w:rPr>
          <w:rFonts w:ascii="Arial" w:hAnsi="Arial" w:cs="Arial"/>
          <w:sz w:val="24"/>
          <w:szCs w:val="24"/>
          <w:lang w:val="es-ES"/>
        </w:rPr>
        <w:t xml:space="preserve"> seis</w:t>
      </w:r>
      <w:r w:rsidRPr="00BB53C0">
        <w:rPr>
          <w:rFonts w:ascii="Arial" w:hAnsi="Arial" w:cs="Arial"/>
          <w:sz w:val="24"/>
          <w:szCs w:val="24"/>
          <w:lang w:val="es-ES"/>
        </w:rPr>
        <w:t xml:space="preserve"> punto</w:t>
      </w:r>
      <w:r w:rsidR="00A2655A" w:rsidRPr="00BB53C0">
        <w:rPr>
          <w:rFonts w:ascii="Arial" w:hAnsi="Arial" w:cs="Arial"/>
          <w:sz w:val="24"/>
          <w:szCs w:val="24"/>
          <w:lang w:val="es-ES"/>
        </w:rPr>
        <w:t>s</w:t>
      </w:r>
      <w:r w:rsidRPr="00BB53C0">
        <w:rPr>
          <w:rFonts w:ascii="Arial" w:hAnsi="Arial" w:cs="Arial"/>
          <w:sz w:val="24"/>
          <w:szCs w:val="24"/>
          <w:lang w:val="es-ES"/>
        </w:rPr>
        <w:t xml:space="preserve"> porcentual</w:t>
      </w:r>
      <w:r w:rsidR="00A2655A" w:rsidRPr="00BB53C0">
        <w:rPr>
          <w:rFonts w:ascii="Arial" w:hAnsi="Arial" w:cs="Arial"/>
          <w:sz w:val="24"/>
          <w:szCs w:val="24"/>
          <w:lang w:val="es-ES"/>
        </w:rPr>
        <w:t>es</w:t>
      </w:r>
      <w:r w:rsidRPr="00BB53C0">
        <w:rPr>
          <w:rFonts w:ascii="Arial" w:hAnsi="Arial" w:cs="Arial"/>
          <w:sz w:val="24"/>
          <w:szCs w:val="24"/>
          <w:lang w:val="es-ES"/>
        </w:rPr>
        <w:t xml:space="preserve"> </w:t>
      </w:r>
      <w:r w:rsidR="009A237B" w:rsidRPr="00BB53C0">
        <w:rPr>
          <w:rFonts w:ascii="Arial" w:hAnsi="Arial" w:cs="Arial"/>
          <w:sz w:val="24"/>
          <w:szCs w:val="24"/>
          <w:lang w:val="es-ES"/>
        </w:rPr>
        <w:t>más</w:t>
      </w:r>
      <w:r w:rsidR="00A2655A" w:rsidRPr="00BB53C0">
        <w:rPr>
          <w:rFonts w:ascii="Arial" w:hAnsi="Arial" w:cs="Arial"/>
          <w:sz w:val="24"/>
          <w:szCs w:val="24"/>
          <w:lang w:val="es-ES"/>
        </w:rPr>
        <w:t xml:space="preserve"> </w:t>
      </w:r>
      <w:r w:rsidRPr="00BB53C0">
        <w:rPr>
          <w:rFonts w:ascii="Arial" w:hAnsi="Arial" w:cs="Arial"/>
          <w:sz w:val="24"/>
          <w:szCs w:val="24"/>
          <w:lang w:val="es-ES"/>
        </w:rPr>
        <w:t>con respecto al periodo anterior.</w:t>
      </w:r>
    </w:p>
    <w:p w14:paraId="534E388E" w14:textId="46EB6BBC" w:rsidR="00746411" w:rsidRPr="00BB53C0" w:rsidRDefault="009A237B" w:rsidP="005B60D4">
      <w:pPr>
        <w:spacing w:line="360" w:lineRule="auto"/>
        <w:jc w:val="both"/>
        <w:rPr>
          <w:rFonts w:ascii="Arial" w:hAnsi="Arial" w:cs="Arial"/>
          <w:sz w:val="24"/>
          <w:szCs w:val="24"/>
          <w:lang w:val="es-ES"/>
        </w:rPr>
      </w:pPr>
      <w:r w:rsidRPr="00BB53C0">
        <w:rPr>
          <w:rFonts w:ascii="Arial" w:hAnsi="Arial" w:cs="Arial"/>
          <w:noProof/>
        </w:rPr>
        <w:drawing>
          <wp:inline distT="0" distB="0" distL="0" distR="0" wp14:anchorId="5090F578" wp14:editId="285A913C">
            <wp:extent cx="5524500" cy="5410200"/>
            <wp:effectExtent l="0" t="0" r="0" b="0"/>
            <wp:docPr id="51" name="Gráfico 51">
              <a:extLst xmlns:a="http://schemas.openxmlformats.org/drawingml/2006/main">
                <a:ext uri="{FF2B5EF4-FFF2-40B4-BE49-F238E27FC236}">
                  <a16:creationId xmlns:a16="http://schemas.microsoft.com/office/drawing/2014/main" id="{00000000-0008-0000-0700-0000253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A454AD" w14:textId="77777777" w:rsidR="00D958F4" w:rsidRPr="00BB53C0" w:rsidRDefault="00D958F4" w:rsidP="002F7058">
      <w:pPr>
        <w:pStyle w:val="Ttulo2"/>
        <w:spacing w:line="360" w:lineRule="auto"/>
        <w:rPr>
          <w:rFonts w:cs="Arial"/>
          <w:sz w:val="24"/>
          <w:szCs w:val="24"/>
        </w:rPr>
      </w:pPr>
      <w:bookmarkStart w:id="9" w:name="_Toc510690310"/>
      <w:r w:rsidRPr="00BB53C0">
        <w:rPr>
          <w:rFonts w:cs="Arial"/>
          <w:sz w:val="24"/>
          <w:szCs w:val="24"/>
        </w:rPr>
        <w:lastRenderedPageBreak/>
        <w:t>Recursos de casación.</w:t>
      </w:r>
      <w:bookmarkEnd w:id="9"/>
      <w:r w:rsidRPr="00BB53C0">
        <w:rPr>
          <w:rFonts w:cs="Arial"/>
          <w:sz w:val="24"/>
          <w:szCs w:val="24"/>
        </w:rPr>
        <w:t xml:space="preserve"> </w:t>
      </w:r>
    </w:p>
    <w:p w14:paraId="17512813" w14:textId="77777777" w:rsidR="00296C16" w:rsidRPr="00BB53C0" w:rsidRDefault="00296C16" w:rsidP="002F7058">
      <w:pPr>
        <w:spacing w:line="360" w:lineRule="auto"/>
        <w:rPr>
          <w:rFonts w:ascii="Arial" w:hAnsi="Arial" w:cs="Arial"/>
          <w:sz w:val="24"/>
          <w:szCs w:val="24"/>
          <w:lang w:eastAsia="es-ES"/>
        </w:rPr>
      </w:pPr>
    </w:p>
    <w:p w14:paraId="1F7B0F5C" w14:textId="69B5499E" w:rsidR="00D958F4" w:rsidRPr="00BB53C0" w:rsidRDefault="00D958F4" w:rsidP="002F7058">
      <w:pPr>
        <w:autoSpaceDE w:val="0"/>
        <w:autoSpaceDN w:val="0"/>
        <w:adjustRightInd w:val="0"/>
        <w:spacing w:line="360" w:lineRule="auto"/>
        <w:ind w:firstLine="708"/>
        <w:jc w:val="both"/>
        <w:rPr>
          <w:rFonts w:ascii="Arial" w:hAnsi="Arial" w:cs="Arial"/>
          <w:sz w:val="24"/>
          <w:szCs w:val="24"/>
          <w:lang w:val="es-ES"/>
        </w:rPr>
      </w:pPr>
      <w:r w:rsidRPr="00BB53C0">
        <w:rPr>
          <w:rFonts w:ascii="Arial" w:hAnsi="Arial" w:cs="Arial"/>
          <w:sz w:val="24"/>
          <w:szCs w:val="24"/>
          <w:lang w:val="es-ES"/>
        </w:rPr>
        <w:t>En relación a la cantidad de recursos de casación que resolvió la Sala en el año 201</w:t>
      </w:r>
      <w:r w:rsidR="003D6104" w:rsidRPr="00BB53C0">
        <w:rPr>
          <w:rFonts w:ascii="Arial" w:hAnsi="Arial" w:cs="Arial"/>
          <w:sz w:val="24"/>
          <w:szCs w:val="24"/>
          <w:lang w:val="es-ES"/>
        </w:rPr>
        <w:t>9</w:t>
      </w:r>
      <w:r w:rsidRPr="00BB53C0">
        <w:rPr>
          <w:rFonts w:ascii="Arial" w:hAnsi="Arial" w:cs="Arial"/>
          <w:sz w:val="24"/>
          <w:szCs w:val="24"/>
          <w:lang w:val="es-ES"/>
        </w:rPr>
        <w:t xml:space="preserve">, tenemos que se resolvieron </w:t>
      </w:r>
      <w:r w:rsidR="003D6104" w:rsidRPr="00BB53C0">
        <w:rPr>
          <w:rFonts w:ascii="Arial" w:hAnsi="Arial" w:cs="Arial"/>
          <w:sz w:val="24"/>
          <w:szCs w:val="24"/>
          <w:lang w:val="es-ES"/>
        </w:rPr>
        <w:t>9</w:t>
      </w:r>
      <w:r w:rsidR="006A39F1" w:rsidRPr="00BB53C0">
        <w:rPr>
          <w:rFonts w:ascii="Arial" w:hAnsi="Arial" w:cs="Arial"/>
          <w:sz w:val="24"/>
          <w:szCs w:val="24"/>
          <w:lang w:val="es-ES"/>
        </w:rPr>
        <w:t>58</w:t>
      </w:r>
      <w:r w:rsidR="00296C16" w:rsidRPr="00BB53C0">
        <w:rPr>
          <w:rFonts w:ascii="Arial" w:hAnsi="Arial" w:cs="Arial"/>
          <w:sz w:val="24"/>
          <w:szCs w:val="24"/>
          <w:lang w:val="es-ES"/>
        </w:rPr>
        <w:t xml:space="preserve"> </w:t>
      </w:r>
      <w:r w:rsidRPr="00BB53C0">
        <w:rPr>
          <w:rFonts w:ascii="Arial" w:hAnsi="Arial" w:cs="Arial"/>
          <w:sz w:val="24"/>
          <w:szCs w:val="24"/>
          <w:lang w:val="es-ES"/>
        </w:rPr>
        <w:t xml:space="preserve">recursos, </w:t>
      </w:r>
      <w:r w:rsidR="006A39F1" w:rsidRPr="00BB53C0">
        <w:rPr>
          <w:rFonts w:ascii="Arial" w:hAnsi="Arial" w:cs="Arial"/>
          <w:sz w:val="24"/>
          <w:szCs w:val="24"/>
          <w:lang w:val="es-ES"/>
        </w:rPr>
        <w:t>37</w:t>
      </w:r>
      <w:r w:rsidRPr="00BB53C0">
        <w:rPr>
          <w:rFonts w:ascii="Arial" w:hAnsi="Arial" w:cs="Arial"/>
          <w:sz w:val="24"/>
          <w:szCs w:val="24"/>
          <w:lang w:val="es-ES"/>
        </w:rPr>
        <w:t xml:space="preserve"> recursos m</w:t>
      </w:r>
      <w:r w:rsidR="003D6104" w:rsidRPr="00BB53C0">
        <w:rPr>
          <w:rFonts w:ascii="Arial" w:hAnsi="Arial" w:cs="Arial"/>
          <w:sz w:val="24"/>
          <w:szCs w:val="24"/>
          <w:lang w:val="es-ES"/>
        </w:rPr>
        <w:t>ás</w:t>
      </w:r>
      <w:r w:rsidRPr="00BB53C0">
        <w:rPr>
          <w:rFonts w:ascii="Arial" w:hAnsi="Arial" w:cs="Arial"/>
          <w:sz w:val="24"/>
          <w:szCs w:val="24"/>
          <w:lang w:val="es-ES"/>
        </w:rPr>
        <w:t xml:space="preserve"> con respecto al 201</w:t>
      </w:r>
      <w:r w:rsidR="006A39F1" w:rsidRPr="00BB53C0">
        <w:rPr>
          <w:rFonts w:ascii="Arial" w:hAnsi="Arial" w:cs="Arial"/>
          <w:sz w:val="24"/>
          <w:szCs w:val="24"/>
          <w:lang w:val="es-ES"/>
        </w:rPr>
        <w:t>9</w:t>
      </w:r>
      <w:r w:rsidRPr="00BB53C0">
        <w:rPr>
          <w:rFonts w:ascii="Arial" w:hAnsi="Arial" w:cs="Arial"/>
          <w:sz w:val="24"/>
          <w:szCs w:val="24"/>
          <w:lang w:val="es-ES"/>
        </w:rPr>
        <w:t xml:space="preserve">, de los cuales se declararon </w:t>
      </w:r>
      <w:r w:rsidR="006A39F1" w:rsidRPr="00BB53C0">
        <w:rPr>
          <w:rFonts w:ascii="Arial" w:hAnsi="Arial" w:cs="Arial"/>
          <w:sz w:val="24"/>
          <w:szCs w:val="24"/>
          <w:lang w:val="es-ES"/>
        </w:rPr>
        <w:t>146</w:t>
      </w:r>
      <w:r w:rsidRPr="00BB53C0">
        <w:rPr>
          <w:rFonts w:ascii="Arial" w:hAnsi="Arial" w:cs="Arial"/>
          <w:sz w:val="24"/>
          <w:szCs w:val="24"/>
          <w:lang w:val="es-ES"/>
        </w:rPr>
        <w:t xml:space="preserve"> con lugar, </w:t>
      </w:r>
      <w:r w:rsidR="006A39F1" w:rsidRPr="00BB53C0">
        <w:rPr>
          <w:rFonts w:ascii="Arial" w:hAnsi="Arial" w:cs="Arial"/>
          <w:sz w:val="24"/>
          <w:szCs w:val="24"/>
          <w:lang w:val="es-ES"/>
        </w:rPr>
        <w:t>24</w:t>
      </w:r>
      <w:r w:rsidRPr="00BB53C0">
        <w:rPr>
          <w:rFonts w:ascii="Arial" w:hAnsi="Arial" w:cs="Arial"/>
          <w:sz w:val="24"/>
          <w:szCs w:val="24"/>
          <w:lang w:val="es-ES"/>
        </w:rPr>
        <w:t xml:space="preserve"> m</w:t>
      </w:r>
      <w:r w:rsidR="003D6104" w:rsidRPr="00BB53C0">
        <w:rPr>
          <w:rFonts w:ascii="Arial" w:hAnsi="Arial" w:cs="Arial"/>
          <w:sz w:val="24"/>
          <w:szCs w:val="24"/>
          <w:lang w:val="es-ES"/>
        </w:rPr>
        <w:t>ás</w:t>
      </w:r>
      <w:r w:rsidRPr="00BB53C0">
        <w:rPr>
          <w:rFonts w:ascii="Arial" w:hAnsi="Arial" w:cs="Arial"/>
          <w:sz w:val="24"/>
          <w:szCs w:val="24"/>
          <w:lang w:val="es-ES"/>
        </w:rPr>
        <w:t xml:space="preserve"> que el periodo anterior; </w:t>
      </w:r>
      <w:r w:rsidR="003D6104" w:rsidRPr="00BB53C0">
        <w:rPr>
          <w:rFonts w:ascii="Arial" w:hAnsi="Arial" w:cs="Arial"/>
          <w:sz w:val="24"/>
          <w:szCs w:val="24"/>
          <w:lang w:val="es-ES"/>
        </w:rPr>
        <w:t>1</w:t>
      </w:r>
      <w:r w:rsidR="006A39F1" w:rsidRPr="00BB53C0">
        <w:rPr>
          <w:rFonts w:ascii="Arial" w:hAnsi="Arial" w:cs="Arial"/>
          <w:sz w:val="24"/>
          <w:szCs w:val="24"/>
          <w:lang w:val="es-ES"/>
        </w:rPr>
        <w:t>46</w:t>
      </w:r>
      <w:r w:rsidRPr="00BB53C0">
        <w:rPr>
          <w:rFonts w:ascii="Arial" w:hAnsi="Arial" w:cs="Arial"/>
          <w:sz w:val="24"/>
          <w:szCs w:val="24"/>
          <w:lang w:val="es-ES"/>
        </w:rPr>
        <w:t xml:space="preserve"> recursos sin lugar, </w:t>
      </w:r>
      <w:r w:rsidR="006A39F1" w:rsidRPr="00BB53C0">
        <w:rPr>
          <w:rFonts w:ascii="Arial" w:hAnsi="Arial" w:cs="Arial"/>
          <w:sz w:val="24"/>
          <w:szCs w:val="24"/>
          <w:lang w:val="es-ES"/>
        </w:rPr>
        <w:t>47</w:t>
      </w:r>
      <w:r w:rsidRPr="00BB53C0">
        <w:rPr>
          <w:rFonts w:ascii="Arial" w:hAnsi="Arial" w:cs="Arial"/>
          <w:sz w:val="24"/>
          <w:szCs w:val="24"/>
          <w:lang w:val="es-ES"/>
        </w:rPr>
        <w:t xml:space="preserve"> </w:t>
      </w:r>
      <w:r w:rsidR="00296C16" w:rsidRPr="00BB53C0">
        <w:rPr>
          <w:rFonts w:ascii="Arial" w:hAnsi="Arial" w:cs="Arial"/>
          <w:sz w:val="24"/>
          <w:szCs w:val="24"/>
          <w:lang w:val="es-ES"/>
        </w:rPr>
        <w:t xml:space="preserve">recursos </w:t>
      </w:r>
      <w:r w:rsidR="006A39F1" w:rsidRPr="00BB53C0">
        <w:rPr>
          <w:rFonts w:ascii="Arial" w:hAnsi="Arial" w:cs="Arial"/>
          <w:sz w:val="24"/>
          <w:szCs w:val="24"/>
          <w:lang w:val="es-ES"/>
        </w:rPr>
        <w:t>menos</w:t>
      </w:r>
      <w:r w:rsidRPr="00BB53C0">
        <w:rPr>
          <w:rFonts w:ascii="Arial" w:hAnsi="Arial" w:cs="Arial"/>
          <w:sz w:val="24"/>
          <w:szCs w:val="24"/>
          <w:lang w:val="es-ES"/>
        </w:rPr>
        <w:t xml:space="preserve"> que el 201</w:t>
      </w:r>
      <w:r w:rsidR="006A39F1" w:rsidRPr="00BB53C0">
        <w:rPr>
          <w:rFonts w:ascii="Arial" w:hAnsi="Arial" w:cs="Arial"/>
          <w:sz w:val="24"/>
          <w:szCs w:val="24"/>
          <w:lang w:val="es-ES"/>
        </w:rPr>
        <w:t>9</w:t>
      </w:r>
      <w:r w:rsidRPr="00BB53C0">
        <w:rPr>
          <w:rFonts w:ascii="Arial" w:hAnsi="Arial" w:cs="Arial"/>
          <w:sz w:val="24"/>
          <w:szCs w:val="24"/>
          <w:lang w:val="es-ES"/>
        </w:rPr>
        <w:t xml:space="preserve">; </w:t>
      </w:r>
      <w:r w:rsidR="003D6104" w:rsidRPr="00BB53C0">
        <w:rPr>
          <w:rFonts w:ascii="Arial" w:hAnsi="Arial" w:cs="Arial"/>
          <w:sz w:val="24"/>
          <w:szCs w:val="24"/>
          <w:lang w:val="es-ES"/>
        </w:rPr>
        <w:t>6</w:t>
      </w:r>
      <w:r w:rsidR="006A39F1" w:rsidRPr="00BB53C0">
        <w:rPr>
          <w:rFonts w:ascii="Arial" w:hAnsi="Arial" w:cs="Arial"/>
          <w:sz w:val="24"/>
          <w:szCs w:val="24"/>
          <w:lang w:val="es-ES"/>
        </w:rPr>
        <w:t>60</w:t>
      </w:r>
      <w:r w:rsidR="00296C16" w:rsidRPr="00BB53C0">
        <w:rPr>
          <w:rFonts w:ascii="Arial" w:hAnsi="Arial" w:cs="Arial"/>
          <w:sz w:val="24"/>
          <w:szCs w:val="24"/>
          <w:lang w:val="es-ES"/>
        </w:rPr>
        <w:t xml:space="preserve"> </w:t>
      </w:r>
      <w:r w:rsidRPr="00BB53C0">
        <w:rPr>
          <w:rFonts w:ascii="Arial" w:hAnsi="Arial" w:cs="Arial"/>
          <w:sz w:val="24"/>
          <w:szCs w:val="24"/>
          <w:lang w:val="es-ES"/>
        </w:rPr>
        <w:t xml:space="preserve">se declararon inadmisibles, lo que significa </w:t>
      </w:r>
      <w:r w:rsidR="006A39F1" w:rsidRPr="00BB53C0">
        <w:rPr>
          <w:rFonts w:ascii="Arial" w:hAnsi="Arial" w:cs="Arial"/>
          <w:sz w:val="24"/>
          <w:szCs w:val="24"/>
          <w:lang w:val="es-ES"/>
        </w:rPr>
        <w:t>55</w:t>
      </w:r>
      <w:r w:rsidRPr="00BB53C0">
        <w:rPr>
          <w:rFonts w:ascii="Arial" w:hAnsi="Arial" w:cs="Arial"/>
          <w:sz w:val="24"/>
          <w:szCs w:val="24"/>
          <w:lang w:val="es-ES"/>
        </w:rPr>
        <w:t xml:space="preserve"> casaciones m</w:t>
      </w:r>
      <w:r w:rsidR="003D6104" w:rsidRPr="00BB53C0">
        <w:rPr>
          <w:rFonts w:ascii="Arial" w:hAnsi="Arial" w:cs="Arial"/>
          <w:sz w:val="24"/>
          <w:szCs w:val="24"/>
          <w:lang w:val="es-ES"/>
        </w:rPr>
        <w:t>ás</w:t>
      </w:r>
      <w:r w:rsidRPr="00BB53C0">
        <w:rPr>
          <w:rFonts w:ascii="Arial" w:hAnsi="Arial" w:cs="Arial"/>
          <w:sz w:val="24"/>
          <w:szCs w:val="24"/>
          <w:lang w:val="es-ES"/>
        </w:rPr>
        <w:t xml:space="preserve"> </w:t>
      </w:r>
      <w:r w:rsidR="00296C16" w:rsidRPr="00BB53C0">
        <w:rPr>
          <w:rFonts w:ascii="Arial" w:hAnsi="Arial" w:cs="Arial"/>
          <w:sz w:val="24"/>
          <w:szCs w:val="24"/>
          <w:lang w:val="es-ES"/>
        </w:rPr>
        <w:t xml:space="preserve">que el año anterior </w:t>
      </w:r>
      <w:r w:rsidRPr="00BB53C0">
        <w:rPr>
          <w:rFonts w:ascii="Arial" w:hAnsi="Arial" w:cs="Arial"/>
          <w:sz w:val="24"/>
          <w:szCs w:val="24"/>
          <w:lang w:val="es-ES"/>
        </w:rPr>
        <w:t xml:space="preserve">y </w:t>
      </w:r>
      <w:r w:rsidR="006A39F1" w:rsidRPr="00BB53C0">
        <w:rPr>
          <w:rFonts w:ascii="Arial" w:hAnsi="Arial" w:cs="Arial"/>
          <w:sz w:val="24"/>
          <w:szCs w:val="24"/>
          <w:lang w:val="es-ES"/>
        </w:rPr>
        <w:t>6</w:t>
      </w:r>
      <w:r w:rsidRPr="00BB53C0">
        <w:rPr>
          <w:rFonts w:ascii="Arial" w:hAnsi="Arial" w:cs="Arial"/>
          <w:sz w:val="24"/>
          <w:szCs w:val="24"/>
          <w:lang w:val="es-ES"/>
        </w:rPr>
        <w:t xml:space="preserve"> se resolvi</w:t>
      </w:r>
      <w:r w:rsidR="003D6104" w:rsidRPr="00BB53C0">
        <w:rPr>
          <w:rFonts w:ascii="Arial" w:hAnsi="Arial" w:cs="Arial"/>
          <w:sz w:val="24"/>
          <w:szCs w:val="24"/>
          <w:lang w:val="es-ES"/>
        </w:rPr>
        <w:t>ó</w:t>
      </w:r>
      <w:r w:rsidRPr="00BB53C0">
        <w:rPr>
          <w:rFonts w:ascii="Arial" w:hAnsi="Arial" w:cs="Arial"/>
          <w:sz w:val="24"/>
          <w:szCs w:val="24"/>
          <w:lang w:val="es-ES"/>
        </w:rPr>
        <w:t xml:space="preserve"> con otro tipo de resolución</w:t>
      </w:r>
      <w:r w:rsidR="00296C16" w:rsidRPr="00BB53C0">
        <w:rPr>
          <w:rFonts w:ascii="Arial" w:hAnsi="Arial" w:cs="Arial"/>
          <w:sz w:val="24"/>
          <w:szCs w:val="24"/>
          <w:lang w:val="es-ES"/>
        </w:rPr>
        <w:t xml:space="preserve">, </w:t>
      </w:r>
      <w:r w:rsidR="006A39F1" w:rsidRPr="00BB53C0">
        <w:rPr>
          <w:rFonts w:ascii="Arial" w:hAnsi="Arial" w:cs="Arial"/>
          <w:sz w:val="24"/>
          <w:szCs w:val="24"/>
          <w:lang w:val="es-ES"/>
        </w:rPr>
        <w:t>5</w:t>
      </w:r>
      <w:r w:rsidR="00296C16" w:rsidRPr="00BB53C0">
        <w:rPr>
          <w:rFonts w:ascii="Arial" w:hAnsi="Arial" w:cs="Arial"/>
          <w:sz w:val="24"/>
          <w:szCs w:val="24"/>
          <w:lang w:val="es-ES"/>
        </w:rPr>
        <w:t xml:space="preserve"> </w:t>
      </w:r>
      <w:r w:rsidR="006A39F1" w:rsidRPr="00BB53C0">
        <w:rPr>
          <w:rFonts w:ascii="Arial" w:hAnsi="Arial" w:cs="Arial"/>
          <w:sz w:val="24"/>
          <w:szCs w:val="24"/>
          <w:lang w:val="es-ES"/>
        </w:rPr>
        <w:t>más</w:t>
      </w:r>
      <w:r w:rsidR="00296C16" w:rsidRPr="00BB53C0">
        <w:rPr>
          <w:rFonts w:ascii="Arial" w:hAnsi="Arial" w:cs="Arial"/>
          <w:sz w:val="24"/>
          <w:szCs w:val="24"/>
          <w:lang w:val="es-ES"/>
        </w:rPr>
        <w:t xml:space="preserve"> que en el anterior período</w:t>
      </w:r>
      <w:r w:rsidRPr="00BB53C0">
        <w:rPr>
          <w:rFonts w:ascii="Arial" w:hAnsi="Arial" w:cs="Arial"/>
          <w:sz w:val="24"/>
          <w:szCs w:val="24"/>
          <w:lang w:val="es-ES"/>
        </w:rPr>
        <w:t>.</w:t>
      </w:r>
    </w:p>
    <w:p w14:paraId="4F090793" w14:textId="3F51552B" w:rsidR="00D958F4" w:rsidRPr="00BB53C0" w:rsidRDefault="009A237B" w:rsidP="002A12BB">
      <w:pPr>
        <w:autoSpaceDE w:val="0"/>
        <w:autoSpaceDN w:val="0"/>
        <w:adjustRightInd w:val="0"/>
        <w:spacing w:line="360" w:lineRule="auto"/>
        <w:jc w:val="both"/>
        <w:rPr>
          <w:rFonts w:ascii="Arial" w:hAnsi="Arial" w:cs="Arial"/>
          <w:sz w:val="24"/>
          <w:szCs w:val="24"/>
          <w:lang w:val="es-ES"/>
        </w:rPr>
      </w:pPr>
      <w:r w:rsidRPr="00BB53C0">
        <w:rPr>
          <w:rFonts w:ascii="Arial" w:hAnsi="Arial" w:cs="Arial"/>
          <w:noProof/>
        </w:rPr>
        <w:drawing>
          <wp:inline distT="0" distB="0" distL="0" distR="0" wp14:anchorId="2E3D1BC1" wp14:editId="13A4DE24">
            <wp:extent cx="6149340" cy="5867400"/>
            <wp:effectExtent l="0" t="0" r="3810" b="0"/>
            <wp:docPr id="53" name="Gráfico 53">
              <a:extLst xmlns:a="http://schemas.openxmlformats.org/drawingml/2006/main">
                <a:ext uri="{FF2B5EF4-FFF2-40B4-BE49-F238E27FC236}">
                  <a16:creationId xmlns:a16="http://schemas.microsoft.com/office/drawing/2014/main" id="{00000000-0008-0000-0C00-0000256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CC538D" w14:textId="77777777" w:rsidR="00D958F4" w:rsidRPr="00BB53C0" w:rsidRDefault="00D958F4" w:rsidP="002F7058">
      <w:pPr>
        <w:pStyle w:val="Ttulo2"/>
        <w:spacing w:line="360" w:lineRule="auto"/>
        <w:rPr>
          <w:rFonts w:cs="Arial"/>
          <w:sz w:val="24"/>
          <w:szCs w:val="24"/>
        </w:rPr>
      </w:pPr>
      <w:bookmarkStart w:id="10" w:name="_Toc510690314"/>
      <w:r w:rsidRPr="00BB53C0">
        <w:rPr>
          <w:rFonts w:cs="Arial"/>
          <w:sz w:val="24"/>
          <w:szCs w:val="24"/>
        </w:rPr>
        <w:lastRenderedPageBreak/>
        <w:t>Procedimientos de revisión.</w:t>
      </w:r>
      <w:bookmarkEnd w:id="10"/>
    </w:p>
    <w:p w14:paraId="14AE090A" w14:textId="77777777" w:rsidR="00813252" w:rsidRPr="00BB53C0" w:rsidRDefault="00813252" w:rsidP="002F7058">
      <w:pPr>
        <w:autoSpaceDE w:val="0"/>
        <w:autoSpaceDN w:val="0"/>
        <w:adjustRightInd w:val="0"/>
        <w:spacing w:line="360" w:lineRule="auto"/>
        <w:ind w:firstLine="708"/>
        <w:jc w:val="both"/>
        <w:rPr>
          <w:rFonts w:ascii="Arial" w:hAnsi="Arial" w:cs="Arial"/>
          <w:sz w:val="24"/>
          <w:szCs w:val="24"/>
          <w:lang w:val="es-ES"/>
        </w:rPr>
      </w:pPr>
    </w:p>
    <w:p w14:paraId="739D7CAD" w14:textId="142DC1B3" w:rsidR="00D958F4" w:rsidRPr="00BB53C0" w:rsidRDefault="00D958F4" w:rsidP="002F7058">
      <w:pPr>
        <w:autoSpaceDE w:val="0"/>
        <w:autoSpaceDN w:val="0"/>
        <w:adjustRightInd w:val="0"/>
        <w:spacing w:line="360" w:lineRule="auto"/>
        <w:ind w:firstLine="708"/>
        <w:jc w:val="both"/>
        <w:rPr>
          <w:rFonts w:ascii="Arial" w:hAnsi="Arial" w:cs="Arial"/>
          <w:sz w:val="24"/>
          <w:szCs w:val="24"/>
          <w:lang w:val="es-ES"/>
        </w:rPr>
      </w:pPr>
      <w:r w:rsidRPr="00BB53C0">
        <w:rPr>
          <w:rFonts w:ascii="Arial" w:hAnsi="Arial" w:cs="Arial"/>
          <w:sz w:val="24"/>
          <w:szCs w:val="24"/>
          <w:lang w:val="es-ES"/>
        </w:rPr>
        <w:t xml:space="preserve">Con respecto a los procedimientos de revisión que se resolvieron, tenemos que </w:t>
      </w:r>
      <w:r w:rsidR="00CD65D7" w:rsidRPr="00BB53C0">
        <w:rPr>
          <w:rFonts w:ascii="Arial" w:hAnsi="Arial" w:cs="Arial"/>
          <w:sz w:val="24"/>
          <w:szCs w:val="24"/>
          <w:lang w:val="es-ES"/>
        </w:rPr>
        <w:t>35</w:t>
      </w:r>
      <w:r w:rsidRPr="00BB53C0">
        <w:rPr>
          <w:rFonts w:ascii="Arial" w:hAnsi="Arial" w:cs="Arial"/>
          <w:sz w:val="24"/>
          <w:szCs w:val="24"/>
          <w:lang w:val="es-ES"/>
        </w:rPr>
        <w:t xml:space="preserve"> procedimientos se declararon con lugar, sea </w:t>
      </w:r>
      <w:r w:rsidR="00CD65D7" w:rsidRPr="00BB53C0">
        <w:rPr>
          <w:rFonts w:ascii="Arial" w:hAnsi="Arial" w:cs="Arial"/>
          <w:sz w:val="24"/>
          <w:szCs w:val="24"/>
          <w:lang w:val="es-ES"/>
        </w:rPr>
        <w:t>13</w:t>
      </w:r>
      <w:r w:rsidRPr="00BB53C0">
        <w:rPr>
          <w:rFonts w:ascii="Arial" w:hAnsi="Arial" w:cs="Arial"/>
          <w:sz w:val="24"/>
          <w:szCs w:val="24"/>
          <w:lang w:val="es-ES"/>
        </w:rPr>
        <w:t xml:space="preserve"> m</w:t>
      </w:r>
      <w:r w:rsidR="004B0696" w:rsidRPr="00BB53C0">
        <w:rPr>
          <w:rFonts w:ascii="Arial" w:hAnsi="Arial" w:cs="Arial"/>
          <w:sz w:val="24"/>
          <w:szCs w:val="24"/>
          <w:lang w:val="es-ES"/>
        </w:rPr>
        <w:t>ás</w:t>
      </w:r>
      <w:r w:rsidRPr="00BB53C0">
        <w:rPr>
          <w:rFonts w:ascii="Arial" w:hAnsi="Arial" w:cs="Arial"/>
          <w:sz w:val="24"/>
          <w:szCs w:val="24"/>
          <w:lang w:val="es-ES"/>
        </w:rPr>
        <w:t xml:space="preserve"> que el año 201</w:t>
      </w:r>
      <w:r w:rsidR="00CD65D7" w:rsidRPr="00BB53C0">
        <w:rPr>
          <w:rFonts w:ascii="Arial" w:hAnsi="Arial" w:cs="Arial"/>
          <w:sz w:val="24"/>
          <w:szCs w:val="24"/>
          <w:lang w:val="es-ES"/>
        </w:rPr>
        <w:t>9</w:t>
      </w:r>
      <w:r w:rsidRPr="00BB53C0">
        <w:rPr>
          <w:rFonts w:ascii="Arial" w:hAnsi="Arial" w:cs="Arial"/>
          <w:sz w:val="24"/>
          <w:szCs w:val="24"/>
          <w:lang w:val="es-ES"/>
        </w:rPr>
        <w:t xml:space="preserve">; </w:t>
      </w:r>
      <w:r w:rsidR="00CD65D7" w:rsidRPr="00BB53C0">
        <w:rPr>
          <w:rFonts w:ascii="Arial" w:hAnsi="Arial" w:cs="Arial"/>
          <w:sz w:val="24"/>
          <w:szCs w:val="24"/>
          <w:lang w:val="es-ES"/>
        </w:rPr>
        <w:t>57</w:t>
      </w:r>
      <w:r w:rsidRPr="00BB53C0">
        <w:rPr>
          <w:rFonts w:ascii="Arial" w:hAnsi="Arial" w:cs="Arial"/>
          <w:sz w:val="24"/>
          <w:szCs w:val="24"/>
          <w:lang w:val="es-ES"/>
        </w:rPr>
        <w:t xml:space="preserve"> procedimiento</w:t>
      </w:r>
      <w:r w:rsidR="00BF70DA" w:rsidRPr="00BB53C0">
        <w:rPr>
          <w:rFonts w:ascii="Arial" w:hAnsi="Arial" w:cs="Arial"/>
          <w:sz w:val="24"/>
          <w:szCs w:val="24"/>
          <w:lang w:val="es-ES"/>
        </w:rPr>
        <w:t>s</w:t>
      </w:r>
      <w:r w:rsidRPr="00BB53C0">
        <w:rPr>
          <w:rFonts w:ascii="Arial" w:hAnsi="Arial" w:cs="Arial"/>
          <w:sz w:val="24"/>
          <w:szCs w:val="24"/>
          <w:lang w:val="es-ES"/>
        </w:rPr>
        <w:t xml:space="preserve"> </w:t>
      </w:r>
      <w:r w:rsidR="004B0696" w:rsidRPr="00BB53C0">
        <w:rPr>
          <w:rFonts w:ascii="Arial" w:hAnsi="Arial" w:cs="Arial"/>
          <w:sz w:val="24"/>
          <w:szCs w:val="24"/>
          <w:lang w:val="es-ES"/>
        </w:rPr>
        <w:t>declarado</w:t>
      </w:r>
      <w:r w:rsidR="00BF70DA" w:rsidRPr="00BB53C0">
        <w:rPr>
          <w:rFonts w:ascii="Arial" w:hAnsi="Arial" w:cs="Arial"/>
          <w:sz w:val="24"/>
          <w:szCs w:val="24"/>
          <w:lang w:val="es-ES"/>
        </w:rPr>
        <w:t>s</w:t>
      </w:r>
      <w:r w:rsidR="004B0696" w:rsidRPr="00BB53C0">
        <w:rPr>
          <w:rFonts w:ascii="Arial" w:hAnsi="Arial" w:cs="Arial"/>
          <w:sz w:val="24"/>
          <w:szCs w:val="24"/>
          <w:lang w:val="es-ES"/>
        </w:rPr>
        <w:t xml:space="preserve"> </w:t>
      </w:r>
      <w:r w:rsidRPr="00BB53C0">
        <w:rPr>
          <w:rFonts w:ascii="Arial" w:hAnsi="Arial" w:cs="Arial"/>
          <w:sz w:val="24"/>
          <w:szCs w:val="24"/>
          <w:lang w:val="es-ES"/>
        </w:rPr>
        <w:t xml:space="preserve">sin lugar, lo que significa </w:t>
      </w:r>
      <w:r w:rsidR="00CD65D7" w:rsidRPr="00BB53C0">
        <w:rPr>
          <w:rFonts w:ascii="Arial" w:hAnsi="Arial" w:cs="Arial"/>
          <w:sz w:val="24"/>
          <w:szCs w:val="24"/>
          <w:lang w:val="es-ES"/>
        </w:rPr>
        <w:t>44</w:t>
      </w:r>
      <w:r w:rsidRPr="00BB53C0">
        <w:rPr>
          <w:rFonts w:ascii="Arial" w:hAnsi="Arial" w:cs="Arial"/>
          <w:sz w:val="24"/>
          <w:szCs w:val="24"/>
          <w:lang w:val="es-ES"/>
        </w:rPr>
        <w:t xml:space="preserve"> </w:t>
      </w:r>
      <w:r w:rsidR="004B0696" w:rsidRPr="00BB53C0">
        <w:rPr>
          <w:rFonts w:ascii="Arial" w:hAnsi="Arial" w:cs="Arial"/>
          <w:sz w:val="24"/>
          <w:szCs w:val="24"/>
          <w:lang w:val="es-ES"/>
        </w:rPr>
        <w:t xml:space="preserve">asuntos </w:t>
      </w:r>
      <w:r w:rsidRPr="00BB53C0">
        <w:rPr>
          <w:rFonts w:ascii="Arial" w:hAnsi="Arial" w:cs="Arial"/>
          <w:sz w:val="24"/>
          <w:szCs w:val="24"/>
          <w:lang w:val="es-ES"/>
        </w:rPr>
        <w:t>m</w:t>
      </w:r>
      <w:r w:rsidR="00BF70DA" w:rsidRPr="00BB53C0">
        <w:rPr>
          <w:rFonts w:ascii="Arial" w:hAnsi="Arial" w:cs="Arial"/>
          <w:sz w:val="24"/>
          <w:szCs w:val="24"/>
          <w:lang w:val="es-ES"/>
        </w:rPr>
        <w:t>ás</w:t>
      </w:r>
      <w:r w:rsidRPr="00BB53C0">
        <w:rPr>
          <w:rFonts w:ascii="Arial" w:hAnsi="Arial" w:cs="Arial"/>
          <w:sz w:val="24"/>
          <w:szCs w:val="24"/>
          <w:lang w:val="es-ES"/>
        </w:rPr>
        <w:t xml:space="preserve"> que el periodo anterior; en </w:t>
      </w:r>
      <w:r w:rsidR="00EA4EBF" w:rsidRPr="00BB53C0">
        <w:rPr>
          <w:rFonts w:ascii="Arial" w:hAnsi="Arial" w:cs="Arial"/>
          <w:sz w:val="24"/>
          <w:szCs w:val="24"/>
          <w:lang w:val="es-ES"/>
        </w:rPr>
        <w:t>363</w:t>
      </w:r>
      <w:r w:rsidRPr="00BB53C0">
        <w:rPr>
          <w:rFonts w:ascii="Arial" w:hAnsi="Arial" w:cs="Arial"/>
          <w:sz w:val="24"/>
          <w:szCs w:val="24"/>
          <w:lang w:val="es-ES"/>
        </w:rPr>
        <w:t xml:space="preserve"> </w:t>
      </w:r>
      <w:r w:rsidR="004B0696" w:rsidRPr="00BB53C0">
        <w:rPr>
          <w:rFonts w:ascii="Arial" w:hAnsi="Arial" w:cs="Arial"/>
          <w:sz w:val="24"/>
          <w:szCs w:val="24"/>
          <w:lang w:val="es-ES"/>
        </w:rPr>
        <w:t xml:space="preserve">casos </w:t>
      </w:r>
      <w:r w:rsidRPr="00BB53C0">
        <w:rPr>
          <w:rFonts w:ascii="Arial" w:hAnsi="Arial" w:cs="Arial"/>
          <w:sz w:val="24"/>
          <w:szCs w:val="24"/>
          <w:lang w:val="es-ES"/>
        </w:rPr>
        <w:t xml:space="preserve">se dictó resolución de inadmisible, </w:t>
      </w:r>
      <w:r w:rsidR="00EA4EBF" w:rsidRPr="00BB53C0">
        <w:rPr>
          <w:rFonts w:ascii="Arial" w:hAnsi="Arial" w:cs="Arial"/>
          <w:sz w:val="24"/>
          <w:szCs w:val="24"/>
          <w:lang w:val="es-ES"/>
        </w:rPr>
        <w:t>41</w:t>
      </w:r>
      <w:r w:rsidRPr="00BB53C0">
        <w:rPr>
          <w:rFonts w:ascii="Arial" w:hAnsi="Arial" w:cs="Arial"/>
          <w:sz w:val="24"/>
          <w:szCs w:val="24"/>
          <w:lang w:val="es-ES"/>
        </w:rPr>
        <w:t xml:space="preserve"> m</w:t>
      </w:r>
      <w:r w:rsidR="00BF70DA" w:rsidRPr="00BB53C0">
        <w:rPr>
          <w:rFonts w:ascii="Arial" w:hAnsi="Arial" w:cs="Arial"/>
          <w:sz w:val="24"/>
          <w:szCs w:val="24"/>
          <w:lang w:val="es-ES"/>
        </w:rPr>
        <w:t>ás</w:t>
      </w:r>
      <w:r w:rsidRPr="00BB53C0">
        <w:rPr>
          <w:rFonts w:ascii="Arial" w:hAnsi="Arial" w:cs="Arial"/>
          <w:sz w:val="24"/>
          <w:szCs w:val="24"/>
          <w:lang w:val="es-ES"/>
        </w:rPr>
        <w:t xml:space="preserve"> que el año anterior y para </w:t>
      </w:r>
      <w:r w:rsidR="00EA4EBF" w:rsidRPr="00BB53C0">
        <w:rPr>
          <w:rFonts w:ascii="Arial" w:hAnsi="Arial" w:cs="Arial"/>
          <w:sz w:val="24"/>
          <w:szCs w:val="24"/>
          <w:lang w:val="es-ES"/>
        </w:rPr>
        <w:t>14</w:t>
      </w:r>
      <w:r w:rsidRPr="00BB53C0">
        <w:rPr>
          <w:rFonts w:ascii="Arial" w:hAnsi="Arial" w:cs="Arial"/>
          <w:sz w:val="24"/>
          <w:szCs w:val="24"/>
          <w:lang w:val="es-ES"/>
        </w:rPr>
        <w:t xml:space="preserve"> procedimientos se resolvieron con otro tipo de resolución, lo que significa </w:t>
      </w:r>
      <w:r w:rsidR="00EA4EBF" w:rsidRPr="00BB53C0">
        <w:rPr>
          <w:rFonts w:ascii="Arial" w:hAnsi="Arial" w:cs="Arial"/>
          <w:sz w:val="24"/>
          <w:szCs w:val="24"/>
          <w:lang w:val="es-ES"/>
        </w:rPr>
        <w:t>7</w:t>
      </w:r>
      <w:r w:rsidRPr="00BB53C0">
        <w:rPr>
          <w:rFonts w:ascii="Arial" w:hAnsi="Arial" w:cs="Arial"/>
          <w:sz w:val="24"/>
          <w:szCs w:val="24"/>
          <w:lang w:val="es-ES"/>
        </w:rPr>
        <w:t xml:space="preserve"> asuntos </w:t>
      </w:r>
      <w:r w:rsidR="00EA4EBF" w:rsidRPr="00BB53C0">
        <w:rPr>
          <w:rFonts w:ascii="Arial" w:hAnsi="Arial" w:cs="Arial"/>
          <w:sz w:val="24"/>
          <w:szCs w:val="24"/>
          <w:lang w:val="es-ES"/>
        </w:rPr>
        <w:t xml:space="preserve">menos </w:t>
      </w:r>
      <w:r w:rsidRPr="00BB53C0">
        <w:rPr>
          <w:rFonts w:ascii="Arial" w:hAnsi="Arial" w:cs="Arial"/>
          <w:sz w:val="24"/>
          <w:szCs w:val="24"/>
          <w:lang w:val="es-ES"/>
        </w:rPr>
        <w:t>en relación con el año 201</w:t>
      </w:r>
      <w:r w:rsidR="00EA4EBF" w:rsidRPr="00BB53C0">
        <w:rPr>
          <w:rFonts w:ascii="Arial" w:hAnsi="Arial" w:cs="Arial"/>
          <w:sz w:val="24"/>
          <w:szCs w:val="24"/>
          <w:lang w:val="es-ES"/>
        </w:rPr>
        <w:t>9</w:t>
      </w:r>
      <w:r w:rsidRPr="00BB53C0">
        <w:rPr>
          <w:rFonts w:ascii="Arial" w:hAnsi="Arial" w:cs="Arial"/>
          <w:sz w:val="24"/>
          <w:szCs w:val="24"/>
          <w:lang w:val="es-ES"/>
        </w:rPr>
        <w:t>.</w:t>
      </w:r>
    </w:p>
    <w:p w14:paraId="7BC4F3F4" w14:textId="09309CC0" w:rsidR="00746411" w:rsidRPr="00BB53C0" w:rsidRDefault="00F4731D" w:rsidP="00F4731D">
      <w:pPr>
        <w:autoSpaceDE w:val="0"/>
        <w:autoSpaceDN w:val="0"/>
        <w:adjustRightInd w:val="0"/>
        <w:spacing w:line="360" w:lineRule="auto"/>
        <w:jc w:val="both"/>
        <w:rPr>
          <w:rFonts w:ascii="Arial" w:hAnsi="Arial" w:cs="Arial"/>
          <w:sz w:val="24"/>
          <w:szCs w:val="24"/>
          <w:lang w:val="es-ES"/>
        </w:rPr>
      </w:pPr>
      <w:r w:rsidRPr="00BB53C0">
        <w:rPr>
          <w:rFonts w:ascii="Arial" w:hAnsi="Arial" w:cs="Arial"/>
          <w:noProof/>
        </w:rPr>
        <w:lastRenderedPageBreak/>
        <w:drawing>
          <wp:inline distT="0" distB="0" distL="0" distR="0" wp14:anchorId="28FA2800" wp14:editId="46A8D75A">
            <wp:extent cx="6012180" cy="7185660"/>
            <wp:effectExtent l="0" t="0" r="7620" b="15240"/>
            <wp:docPr id="56" name="Gráfico 56">
              <a:extLst xmlns:a="http://schemas.openxmlformats.org/drawingml/2006/main">
                <a:ext uri="{FF2B5EF4-FFF2-40B4-BE49-F238E27FC236}">
                  <a16:creationId xmlns:a16="http://schemas.microsoft.com/office/drawing/2014/main" id="{00000000-0008-0000-1000-0000258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CFC243" w14:textId="67343A89" w:rsidR="00D958F4" w:rsidRPr="00BB53C0" w:rsidRDefault="00D958F4" w:rsidP="002A12BB">
      <w:pPr>
        <w:autoSpaceDE w:val="0"/>
        <w:autoSpaceDN w:val="0"/>
        <w:adjustRightInd w:val="0"/>
        <w:spacing w:line="360" w:lineRule="auto"/>
        <w:jc w:val="both"/>
        <w:rPr>
          <w:rFonts w:ascii="Arial" w:hAnsi="Arial" w:cs="Arial"/>
          <w:bCs/>
          <w:sz w:val="24"/>
          <w:szCs w:val="24"/>
          <w:lang w:val="es-ES"/>
        </w:rPr>
      </w:pPr>
    </w:p>
    <w:p w14:paraId="365C7076" w14:textId="77777777" w:rsidR="00274B71" w:rsidRPr="00BB53C0" w:rsidRDefault="00274B71" w:rsidP="002A12BB">
      <w:pPr>
        <w:autoSpaceDE w:val="0"/>
        <w:autoSpaceDN w:val="0"/>
        <w:adjustRightInd w:val="0"/>
        <w:spacing w:line="360" w:lineRule="auto"/>
        <w:jc w:val="both"/>
        <w:rPr>
          <w:rFonts w:ascii="Arial" w:hAnsi="Arial" w:cs="Arial"/>
          <w:bCs/>
          <w:sz w:val="24"/>
          <w:szCs w:val="24"/>
          <w:lang w:val="es-ES"/>
        </w:rPr>
      </w:pPr>
    </w:p>
    <w:p w14:paraId="6B765800" w14:textId="77777777" w:rsidR="00D958F4" w:rsidRPr="0053441B" w:rsidRDefault="00D958F4" w:rsidP="002F7058">
      <w:pPr>
        <w:pStyle w:val="Ttulo2"/>
        <w:spacing w:line="360" w:lineRule="auto"/>
        <w:rPr>
          <w:rFonts w:cs="Arial"/>
          <w:sz w:val="24"/>
          <w:szCs w:val="24"/>
        </w:rPr>
      </w:pPr>
      <w:bookmarkStart w:id="11" w:name="_Toc510690318"/>
      <w:r w:rsidRPr="0053441B">
        <w:rPr>
          <w:rFonts w:cs="Arial"/>
          <w:sz w:val="24"/>
          <w:szCs w:val="24"/>
        </w:rPr>
        <w:lastRenderedPageBreak/>
        <w:t xml:space="preserve">Duración promedio de las resoluciones en general emitidas por la Sala </w:t>
      </w:r>
      <w:r w:rsidR="00E34EA4" w:rsidRPr="0053441B">
        <w:rPr>
          <w:rFonts w:cs="Arial"/>
          <w:sz w:val="24"/>
          <w:szCs w:val="24"/>
        </w:rPr>
        <w:t>de Casación Penal</w:t>
      </w:r>
      <w:r w:rsidRPr="0053441B">
        <w:rPr>
          <w:rFonts w:cs="Arial"/>
          <w:sz w:val="24"/>
          <w:szCs w:val="24"/>
        </w:rPr>
        <w:t xml:space="preserve"> de la Corte Suprema de Justicia.</w:t>
      </w:r>
      <w:bookmarkEnd w:id="11"/>
    </w:p>
    <w:p w14:paraId="3F0AAA2E" w14:textId="5F9E3614" w:rsidR="00D958F4" w:rsidRPr="00BB53C0" w:rsidRDefault="00E24B75" w:rsidP="002F7058">
      <w:pPr>
        <w:autoSpaceDE w:val="0"/>
        <w:autoSpaceDN w:val="0"/>
        <w:adjustRightInd w:val="0"/>
        <w:spacing w:line="360" w:lineRule="auto"/>
        <w:ind w:firstLine="708"/>
        <w:jc w:val="both"/>
        <w:rPr>
          <w:rFonts w:ascii="Arial" w:hAnsi="Arial" w:cs="Arial"/>
          <w:bCs/>
          <w:iCs/>
          <w:sz w:val="24"/>
          <w:szCs w:val="24"/>
          <w:lang w:val="es-ES"/>
        </w:rPr>
      </w:pPr>
      <w:r w:rsidRPr="0053441B">
        <w:rPr>
          <w:rFonts w:ascii="Arial" w:hAnsi="Arial" w:cs="Arial"/>
          <w:sz w:val="24"/>
          <w:szCs w:val="24"/>
          <w:lang w:val="es-ES"/>
        </w:rPr>
        <w:t>En el período 20</w:t>
      </w:r>
      <w:r w:rsidR="0094229B" w:rsidRPr="0053441B">
        <w:rPr>
          <w:rFonts w:ascii="Arial" w:hAnsi="Arial" w:cs="Arial"/>
          <w:sz w:val="24"/>
          <w:szCs w:val="24"/>
          <w:lang w:val="es-ES"/>
        </w:rPr>
        <w:t>20</w:t>
      </w:r>
      <w:r w:rsidRPr="0053441B">
        <w:rPr>
          <w:rFonts w:ascii="Arial" w:hAnsi="Arial" w:cs="Arial"/>
          <w:sz w:val="24"/>
          <w:szCs w:val="24"/>
          <w:lang w:val="es-ES"/>
        </w:rPr>
        <w:t>, la información estadística relativa a los tiempos de duración, mostraron una disminución en la resolución de los asuntos sometidos a conocimiento de la Sala de Casación Penal. Según se había informado con anterioridad, p</w:t>
      </w:r>
      <w:r w:rsidRPr="0053441B">
        <w:rPr>
          <w:rFonts w:ascii="Arial" w:hAnsi="Arial" w:cs="Arial"/>
          <w:bCs/>
          <w:iCs/>
          <w:sz w:val="24"/>
          <w:szCs w:val="24"/>
          <w:lang w:val="es-ES"/>
        </w:rPr>
        <w:t>ara el período 2015 se mejoraron los tiempos con respecto al 2014, mostrando un valor de 5 meses y 2 semanas para la resolución de los procedimientos de revisión, y de 2 meses y 2 semanas para los recursos de casación. La tendencia a la baja de los tiempos de resolución se mantuvo para el 2016, al mostrar que para la resolución de los procedimientos de revisión se pasó de 5 meses y 2 semanas en el 2015, a 4 meses en el 2016, mientras que en la resolución de los recursos de casación los datos muestran que para el 2016, se mantiene en relación con el 2015, en 2 meses y 2 semanas. Para el 2017, los tiempos de resolución en ambos rubros aumentan mínimamente, ya que para los procedimientos de resolución pasa a 4 meses y 3 semanas, se aumenta 3 semanas en relación con el 2016 y en cuanto a la resolución de los recursos de casación, aumenta a 2 meses y 3 semanas, sea se tarda 1 semana más, en relación con el tiempo obtenido para el 2016. Con respecto al 2018, los tiempos de resolución en ambos procesos aumentan significativamente, toda vez que la resolución de los procedimientos de revisión pasa a una duración mensual promedio de 13 meses, aumentando 8 meses y 7 semanas en relación al 2017, y en cuanto a la resolución de los recursos de casación aumenta su duración promedio a 7 meses y 1 semana, sea se tarda 4 meses y 8 semanas más que en el 2017. En el año 2019, los tiempos de resolución en ambos casos disminuyen nuevamente, según los registros los procedimientos de revisión pasaron de 13 meses en el 2018 a 7 meses en el nuevo período, disminuyendo en 6 meses su resolución, y en cuanto a los recursos de casación, disminuye de 7 meses y 1 semana en el 2018 a 5 meses en el 2019 su resolución, sea dos meses y una semana menos que en el anterior período</w:t>
      </w:r>
      <w:r w:rsidR="0053441B">
        <w:rPr>
          <w:rFonts w:ascii="Arial" w:hAnsi="Arial" w:cs="Arial"/>
          <w:bCs/>
          <w:iCs/>
          <w:sz w:val="24"/>
          <w:szCs w:val="24"/>
          <w:lang w:val="es-ES"/>
        </w:rPr>
        <w:t>. En el año 2020,</w:t>
      </w:r>
      <w:r w:rsidR="0053441B" w:rsidRPr="0053441B">
        <w:rPr>
          <w:rFonts w:ascii="Arial" w:hAnsi="Arial" w:cs="Arial"/>
          <w:sz w:val="24"/>
          <w:szCs w:val="24"/>
          <w:lang w:val="es-ES"/>
        </w:rPr>
        <w:t xml:space="preserve"> los recursos de casación se tardaron en su resolución un promedio de 4 meses, disminuyendo en 1 mes con respecto al año 2019; con respecto a los procedimientos de revisión se obtuvo un tiempo promedio de resolución de 6 meses y una semana, disminuyendo en 3 semanas en relación con el año 2019.</w:t>
      </w:r>
      <w:r w:rsidR="0053441B">
        <w:rPr>
          <w:rFonts w:ascii="Arial" w:hAnsi="Arial" w:cs="Arial"/>
          <w:bCs/>
          <w:iCs/>
          <w:sz w:val="24"/>
          <w:szCs w:val="24"/>
          <w:lang w:val="es-ES"/>
        </w:rPr>
        <w:t xml:space="preserve"> </w:t>
      </w:r>
    </w:p>
    <w:p w14:paraId="172F72D7" w14:textId="77777777" w:rsidR="00D958F4" w:rsidRPr="00BB53C0" w:rsidRDefault="00D958F4" w:rsidP="002A12BB">
      <w:pPr>
        <w:autoSpaceDE w:val="0"/>
        <w:autoSpaceDN w:val="0"/>
        <w:adjustRightInd w:val="0"/>
        <w:spacing w:line="360" w:lineRule="auto"/>
        <w:jc w:val="both"/>
        <w:rPr>
          <w:rFonts w:ascii="Arial" w:hAnsi="Arial" w:cs="Arial"/>
          <w:bCs/>
          <w:iCs/>
          <w:sz w:val="24"/>
          <w:szCs w:val="24"/>
          <w:lang w:val="es-ES"/>
        </w:rPr>
      </w:pPr>
    </w:p>
    <w:p w14:paraId="12556A90" w14:textId="7C7C8955" w:rsidR="00D958F4" w:rsidRPr="00BB53C0" w:rsidRDefault="00D958F4" w:rsidP="002A12BB">
      <w:pPr>
        <w:autoSpaceDE w:val="0"/>
        <w:autoSpaceDN w:val="0"/>
        <w:adjustRightInd w:val="0"/>
        <w:spacing w:line="360" w:lineRule="auto"/>
        <w:jc w:val="both"/>
        <w:rPr>
          <w:rFonts w:ascii="Arial" w:hAnsi="Arial" w:cs="Arial"/>
          <w:bCs/>
          <w:iCs/>
          <w:noProof/>
          <w:sz w:val="24"/>
          <w:szCs w:val="24"/>
          <w:lang w:eastAsia="es-CR"/>
        </w:rPr>
      </w:pPr>
    </w:p>
    <w:p w14:paraId="50AD7318" w14:textId="7388CF6C" w:rsidR="00CF599D" w:rsidRPr="00BB53C0" w:rsidRDefault="0053441B" w:rsidP="002A12BB">
      <w:pPr>
        <w:autoSpaceDE w:val="0"/>
        <w:autoSpaceDN w:val="0"/>
        <w:adjustRightInd w:val="0"/>
        <w:spacing w:line="360" w:lineRule="auto"/>
        <w:jc w:val="both"/>
        <w:rPr>
          <w:rFonts w:ascii="Arial" w:hAnsi="Arial" w:cs="Arial"/>
          <w:bCs/>
          <w:iCs/>
          <w:sz w:val="24"/>
          <w:szCs w:val="24"/>
          <w:lang w:val="es-ES"/>
        </w:rPr>
      </w:pPr>
      <w:r>
        <w:rPr>
          <w:noProof/>
        </w:rPr>
        <w:drawing>
          <wp:inline distT="0" distB="0" distL="0" distR="0" wp14:anchorId="628A6954" wp14:editId="586AB3A6">
            <wp:extent cx="5971540" cy="6301740"/>
            <wp:effectExtent l="0" t="0" r="10160" b="3810"/>
            <wp:docPr id="4" name="Gráfico 4">
              <a:extLst xmlns:a="http://schemas.openxmlformats.org/drawingml/2006/main">
                <a:ext uri="{FF2B5EF4-FFF2-40B4-BE49-F238E27FC236}">
                  <a16:creationId xmlns:a16="http://schemas.microsoft.com/office/drawing/2014/main" id="{00000000-0008-0000-1400-000025A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E5E296" w14:textId="77777777" w:rsidR="00D958F4" w:rsidRPr="00BB53C0" w:rsidRDefault="00D958F4" w:rsidP="002A12BB">
      <w:pPr>
        <w:autoSpaceDE w:val="0"/>
        <w:autoSpaceDN w:val="0"/>
        <w:adjustRightInd w:val="0"/>
        <w:spacing w:after="0" w:line="360" w:lineRule="auto"/>
        <w:jc w:val="both"/>
        <w:rPr>
          <w:rFonts w:ascii="Arial" w:hAnsi="Arial" w:cs="Arial"/>
          <w:b/>
          <w:sz w:val="24"/>
          <w:szCs w:val="24"/>
          <w:lang w:val="es-ES"/>
        </w:rPr>
      </w:pPr>
    </w:p>
    <w:p w14:paraId="1B329140" w14:textId="77777777"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7DFB085B" w14:textId="77777777" w:rsidR="009A34F1" w:rsidRPr="00BB53C0" w:rsidRDefault="009A34F1" w:rsidP="009A34F1">
      <w:pPr>
        <w:autoSpaceDE w:val="0"/>
        <w:autoSpaceDN w:val="0"/>
        <w:adjustRightInd w:val="0"/>
        <w:spacing w:after="0" w:line="360" w:lineRule="auto"/>
        <w:ind w:firstLine="708"/>
        <w:jc w:val="both"/>
        <w:rPr>
          <w:rFonts w:ascii="Arial" w:eastAsia="Times New Roman" w:hAnsi="Arial" w:cs="Arial"/>
          <w:b/>
          <w:caps/>
          <w:sz w:val="24"/>
          <w:szCs w:val="24"/>
          <w:u w:val="single"/>
          <w:lang w:eastAsia="es-ES"/>
        </w:rPr>
      </w:pPr>
    </w:p>
    <w:p w14:paraId="227C8F89" w14:textId="77777777" w:rsidR="003A7F1C" w:rsidRPr="00BB53C0" w:rsidRDefault="003A7F1C" w:rsidP="009A34F1">
      <w:pPr>
        <w:autoSpaceDE w:val="0"/>
        <w:autoSpaceDN w:val="0"/>
        <w:adjustRightInd w:val="0"/>
        <w:spacing w:after="0" w:line="360" w:lineRule="auto"/>
        <w:ind w:firstLine="708"/>
        <w:jc w:val="both"/>
        <w:rPr>
          <w:rFonts w:ascii="Arial" w:eastAsia="Times New Roman" w:hAnsi="Arial" w:cs="Arial"/>
          <w:b/>
          <w:caps/>
          <w:sz w:val="24"/>
          <w:szCs w:val="24"/>
          <w:u w:val="single"/>
          <w:lang w:eastAsia="es-ES"/>
        </w:rPr>
      </w:pPr>
    </w:p>
    <w:p w14:paraId="1F9B33A4" w14:textId="77777777" w:rsidR="003A7F1C" w:rsidRPr="00BB53C0" w:rsidRDefault="003A7F1C" w:rsidP="009A34F1">
      <w:pPr>
        <w:autoSpaceDE w:val="0"/>
        <w:autoSpaceDN w:val="0"/>
        <w:adjustRightInd w:val="0"/>
        <w:spacing w:after="0" w:line="360" w:lineRule="auto"/>
        <w:ind w:firstLine="708"/>
        <w:jc w:val="both"/>
        <w:rPr>
          <w:rFonts w:ascii="Arial" w:eastAsia="Times New Roman" w:hAnsi="Arial" w:cs="Arial"/>
          <w:b/>
          <w:caps/>
          <w:sz w:val="24"/>
          <w:szCs w:val="24"/>
          <w:u w:val="single"/>
          <w:lang w:eastAsia="es-ES"/>
        </w:rPr>
      </w:pPr>
    </w:p>
    <w:p w14:paraId="2FB9E96E" w14:textId="53498A24" w:rsidR="00D958F4" w:rsidRPr="00BB53C0" w:rsidRDefault="00CE0A7E" w:rsidP="00D75EA6">
      <w:pPr>
        <w:pStyle w:val="Ttulo1"/>
        <w:jc w:val="center"/>
      </w:pPr>
      <w:bookmarkStart w:id="12" w:name="_Toc510690319"/>
      <w:r>
        <w:lastRenderedPageBreak/>
        <w:t>D</w:t>
      </w:r>
      <w:r w:rsidR="00D958F4" w:rsidRPr="00BB53C0">
        <w:t>atos Estadísticas Generales en Materia Penal Juvenil:</w:t>
      </w:r>
      <w:bookmarkEnd w:id="12"/>
    </w:p>
    <w:p w14:paraId="0A3CFBB4" w14:textId="77777777" w:rsidR="00D958F4" w:rsidRPr="00BB53C0" w:rsidRDefault="00D958F4" w:rsidP="002F7058">
      <w:pPr>
        <w:pStyle w:val="Ttulo2"/>
        <w:spacing w:line="360" w:lineRule="auto"/>
        <w:rPr>
          <w:rFonts w:cs="Arial"/>
          <w:sz w:val="24"/>
          <w:szCs w:val="24"/>
        </w:rPr>
      </w:pPr>
      <w:bookmarkStart w:id="13" w:name="_Toc510690320"/>
      <w:r w:rsidRPr="00BB53C0">
        <w:rPr>
          <w:rFonts w:cs="Arial"/>
          <w:sz w:val="24"/>
          <w:szCs w:val="24"/>
        </w:rPr>
        <w:t>Balance General:</w:t>
      </w:r>
      <w:bookmarkEnd w:id="13"/>
    </w:p>
    <w:p w14:paraId="6090DA97" w14:textId="7B486C11" w:rsidR="00D958F4" w:rsidRPr="00BB53C0" w:rsidRDefault="00D958F4" w:rsidP="002F7058">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eastAsia="Times New Roman" w:hAnsi="Arial" w:cs="Arial"/>
          <w:sz w:val="24"/>
          <w:szCs w:val="24"/>
          <w:lang w:eastAsia="es-ES"/>
        </w:rPr>
        <w:tab/>
        <w:t>En relación a la materia Penal Juvenil, la Sala de Casación Penal Juvenil sigue con la recopilación de criterios de especialización procesales y sustantivos en su jurisprudencia, condición que facilita continuar con la unificación jurisprudencial para generar sustentados bajo los principios en los que se sustenta la materia penal juvenil.</w:t>
      </w:r>
    </w:p>
    <w:p w14:paraId="301EC785" w14:textId="31A21C4F" w:rsidR="00D958F4" w:rsidRPr="00BB53C0" w:rsidRDefault="00D958F4" w:rsidP="002F7058">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eastAsia="Times New Roman" w:hAnsi="Arial" w:cs="Arial"/>
          <w:sz w:val="24"/>
          <w:szCs w:val="24"/>
          <w:lang w:eastAsia="es-ES"/>
        </w:rPr>
        <w:tab/>
        <w:t>Durante el año 20</w:t>
      </w:r>
      <w:r w:rsidR="00EA4EBF" w:rsidRPr="00BB53C0">
        <w:rPr>
          <w:rFonts w:ascii="Arial" w:eastAsia="Times New Roman" w:hAnsi="Arial" w:cs="Arial"/>
          <w:sz w:val="24"/>
          <w:szCs w:val="24"/>
          <w:lang w:eastAsia="es-ES"/>
        </w:rPr>
        <w:t>20</w:t>
      </w:r>
      <w:r w:rsidRPr="00BB53C0">
        <w:rPr>
          <w:rFonts w:ascii="Arial" w:eastAsia="Times New Roman" w:hAnsi="Arial" w:cs="Arial"/>
          <w:sz w:val="24"/>
          <w:szCs w:val="24"/>
          <w:lang w:eastAsia="es-ES"/>
        </w:rPr>
        <w:t xml:space="preserve">, iniciamos con un circulante de </w:t>
      </w:r>
      <w:r w:rsidR="00EA4EBF" w:rsidRPr="00BB53C0">
        <w:rPr>
          <w:rFonts w:ascii="Arial" w:eastAsia="Times New Roman" w:hAnsi="Arial" w:cs="Arial"/>
          <w:sz w:val="24"/>
          <w:szCs w:val="24"/>
          <w:lang w:eastAsia="es-ES"/>
        </w:rPr>
        <w:t>18</w:t>
      </w:r>
      <w:r w:rsidRPr="00BB53C0">
        <w:rPr>
          <w:rFonts w:ascii="Arial" w:eastAsia="Times New Roman" w:hAnsi="Arial" w:cs="Arial"/>
          <w:sz w:val="24"/>
          <w:szCs w:val="24"/>
          <w:lang w:eastAsia="es-ES"/>
        </w:rPr>
        <w:t xml:space="preserve"> expedientes pendientes de resolver, como asuntos nuevos ingresaron </w:t>
      </w:r>
      <w:r w:rsidR="00EA4EBF" w:rsidRPr="00BB53C0">
        <w:rPr>
          <w:rFonts w:ascii="Arial" w:eastAsia="Times New Roman" w:hAnsi="Arial" w:cs="Arial"/>
          <w:sz w:val="24"/>
          <w:szCs w:val="24"/>
          <w:lang w:eastAsia="es-ES"/>
        </w:rPr>
        <w:t>25</w:t>
      </w:r>
      <w:r w:rsidRPr="00BB53C0">
        <w:rPr>
          <w:rFonts w:ascii="Arial" w:eastAsia="Times New Roman" w:hAnsi="Arial" w:cs="Arial"/>
          <w:sz w:val="24"/>
          <w:szCs w:val="24"/>
          <w:lang w:eastAsia="es-ES"/>
        </w:rPr>
        <w:t xml:space="preserve"> asuntos, </w:t>
      </w:r>
      <w:r w:rsidR="00684246" w:rsidRPr="00BB53C0">
        <w:rPr>
          <w:rFonts w:ascii="Arial" w:eastAsia="Times New Roman" w:hAnsi="Arial" w:cs="Arial"/>
          <w:sz w:val="24"/>
          <w:szCs w:val="24"/>
          <w:lang w:eastAsia="es-ES"/>
        </w:rPr>
        <w:t>2</w:t>
      </w:r>
      <w:r w:rsidR="00EA4EBF" w:rsidRPr="00BB53C0">
        <w:rPr>
          <w:rFonts w:ascii="Arial" w:eastAsia="Times New Roman" w:hAnsi="Arial" w:cs="Arial"/>
          <w:sz w:val="24"/>
          <w:szCs w:val="24"/>
          <w:lang w:eastAsia="es-ES"/>
        </w:rPr>
        <w:t>8</w:t>
      </w:r>
      <w:r w:rsidRPr="00BB53C0">
        <w:rPr>
          <w:rFonts w:ascii="Arial" w:eastAsia="Times New Roman" w:hAnsi="Arial" w:cs="Arial"/>
          <w:sz w:val="24"/>
          <w:szCs w:val="24"/>
          <w:lang w:eastAsia="es-ES"/>
        </w:rPr>
        <w:t xml:space="preserve"> </w:t>
      </w:r>
      <w:r w:rsidR="00EA4EBF" w:rsidRPr="00BB53C0">
        <w:rPr>
          <w:rFonts w:ascii="Arial" w:eastAsia="Times New Roman" w:hAnsi="Arial" w:cs="Arial"/>
          <w:sz w:val="24"/>
          <w:szCs w:val="24"/>
          <w:lang w:eastAsia="es-ES"/>
        </w:rPr>
        <w:t>menos</w:t>
      </w:r>
      <w:r w:rsidRPr="00BB53C0">
        <w:rPr>
          <w:rFonts w:ascii="Arial" w:eastAsia="Times New Roman" w:hAnsi="Arial" w:cs="Arial"/>
          <w:sz w:val="24"/>
          <w:szCs w:val="24"/>
          <w:lang w:eastAsia="es-ES"/>
        </w:rPr>
        <w:t xml:space="preserve"> que el año 201</w:t>
      </w:r>
      <w:r w:rsidR="00EA4EBF" w:rsidRPr="00BB53C0">
        <w:rPr>
          <w:rFonts w:ascii="Arial" w:eastAsia="Times New Roman" w:hAnsi="Arial" w:cs="Arial"/>
          <w:sz w:val="24"/>
          <w:szCs w:val="24"/>
          <w:lang w:eastAsia="es-ES"/>
        </w:rPr>
        <w:t>9</w:t>
      </w:r>
      <w:r w:rsidRPr="00BB53C0">
        <w:rPr>
          <w:rFonts w:ascii="Arial" w:eastAsia="Times New Roman" w:hAnsi="Arial" w:cs="Arial"/>
          <w:sz w:val="24"/>
          <w:szCs w:val="24"/>
          <w:lang w:eastAsia="es-ES"/>
        </w:rPr>
        <w:t xml:space="preserve">; se fallaron </w:t>
      </w:r>
      <w:r w:rsidR="00EA4EBF" w:rsidRPr="00BB53C0">
        <w:rPr>
          <w:rFonts w:ascii="Arial" w:eastAsia="Times New Roman" w:hAnsi="Arial" w:cs="Arial"/>
          <w:sz w:val="24"/>
          <w:szCs w:val="24"/>
          <w:lang w:eastAsia="es-ES"/>
        </w:rPr>
        <w:t>36</w:t>
      </w:r>
      <w:r w:rsidRPr="00BB53C0">
        <w:rPr>
          <w:rFonts w:ascii="Arial" w:eastAsia="Times New Roman" w:hAnsi="Arial" w:cs="Arial"/>
          <w:sz w:val="24"/>
          <w:szCs w:val="24"/>
          <w:lang w:eastAsia="es-ES"/>
        </w:rPr>
        <w:t xml:space="preserve"> asuntos, </w:t>
      </w:r>
      <w:r w:rsidR="00EA4EBF" w:rsidRPr="00BB53C0">
        <w:rPr>
          <w:rFonts w:ascii="Arial" w:eastAsia="Times New Roman" w:hAnsi="Arial" w:cs="Arial"/>
          <w:sz w:val="24"/>
          <w:szCs w:val="24"/>
          <w:lang w:eastAsia="es-ES"/>
        </w:rPr>
        <w:t xml:space="preserve">8 </w:t>
      </w:r>
      <w:r w:rsidRPr="00BB53C0">
        <w:rPr>
          <w:rFonts w:ascii="Arial" w:eastAsia="Times New Roman" w:hAnsi="Arial" w:cs="Arial"/>
          <w:sz w:val="24"/>
          <w:szCs w:val="24"/>
          <w:lang w:eastAsia="es-ES"/>
        </w:rPr>
        <w:t xml:space="preserve">asuntos </w:t>
      </w:r>
      <w:r w:rsidR="00EA4EBF" w:rsidRPr="00BB53C0">
        <w:rPr>
          <w:rFonts w:ascii="Arial" w:eastAsia="Times New Roman" w:hAnsi="Arial" w:cs="Arial"/>
          <w:sz w:val="24"/>
          <w:szCs w:val="24"/>
          <w:lang w:eastAsia="es-ES"/>
        </w:rPr>
        <w:t>menos</w:t>
      </w:r>
      <w:r w:rsidRPr="00BB53C0">
        <w:rPr>
          <w:rFonts w:ascii="Arial" w:eastAsia="Times New Roman" w:hAnsi="Arial" w:cs="Arial"/>
          <w:sz w:val="24"/>
          <w:szCs w:val="24"/>
          <w:lang w:eastAsia="es-ES"/>
        </w:rPr>
        <w:t xml:space="preserve"> que el periodo anterior, para quedar co</w:t>
      </w:r>
      <w:r w:rsidR="00684246" w:rsidRPr="00BB53C0">
        <w:rPr>
          <w:rFonts w:ascii="Arial" w:eastAsia="Times New Roman" w:hAnsi="Arial" w:cs="Arial"/>
          <w:sz w:val="24"/>
          <w:szCs w:val="24"/>
          <w:lang w:eastAsia="es-ES"/>
        </w:rPr>
        <w:t>n</w:t>
      </w:r>
      <w:r w:rsidRPr="00BB53C0">
        <w:rPr>
          <w:rFonts w:ascii="Arial" w:eastAsia="Times New Roman" w:hAnsi="Arial" w:cs="Arial"/>
          <w:sz w:val="24"/>
          <w:szCs w:val="24"/>
          <w:lang w:eastAsia="es-ES"/>
        </w:rPr>
        <w:t xml:space="preserve"> </w:t>
      </w:r>
      <w:r w:rsidR="00684246" w:rsidRPr="00BB53C0">
        <w:rPr>
          <w:rFonts w:ascii="Arial" w:eastAsia="Times New Roman" w:hAnsi="Arial" w:cs="Arial"/>
          <w:sz w:val="24"/>
          <w:szCs w:val="24"/>
          <w:lang w:eastAsia="es-ES"/>
        </w:rPr>
        <w:t xml:space="preserve">un </w:t>
      </w:r>
      <w:r w:rsidRPr="00BB53C0">
        <w:rPr>
          <w:rFonts w:ascii="Arial" w:eastAsia="Times New Roman" w:hAnsi="Arial" w:cs="Arial"/>
          <w:sz w:val="24"/>
          <w:szCs w:val="24"/>
          <w:lang w:eastAsia="es-ES"/>
        </w:rPr>
        <w:t xml:space="preserve">circulante final de </w:t>
      </w:r>
      <w:r w:rsidR="00EA4EBF" w:rsidRPr="00BB53C0">
        <w:rPr>
          <w:rFonts w:ascii="Arial" w:eastAsia="Times New Roman" w:hAnsi="Arial" w:cs="Arial"/>
          <w:sz w:val="24"/>
          <w:szCs w:val="24"/>
          <w:lang w:eastAsia="es-ES"/>
        </w:rPr>
        <w:t>7</w:t>
      </w:r>
      <w:r w:rsidRPr="00BB53C0">
        <w:rPr>
          <w:rFonts w:ascii="Arial" w:eastAsia="Times New Roman" w:hAnsi="Arial" w:cs="Arial"/>
          <w:sz w:val="24"/>
          <w:szCs w:val="24"/>
          <w:lang w:eastAsia="es-ES"/>
        </w:rPr>
        <w:t xml:space="preserve"> asuntos, lo que significa </w:t>
      </w:r>
      <w:r w:rsidR="00EA4EBF" w:rsidRPr="00BB53C0">
        <w:rPr>
          <w:rFonts w:ascii="Arial" w:eastAsia="Times New Roman" w:hAnsi="Arial" w:cs="Arial"/>
          <w:sz w:val="24"/>
          <w:szCs w:val="24"/>
          <w:lang w:eastAsia="es-ES"/>
        </w:rPr>
        <w:t>11</w:t>
      </w:r>
      <w:r w:rsidRPr="00BB53C0">
        <w:rPr>
          <w:rFonts w:ascii="Arial" w:eastAsia="Times New Roman" w:hAnsi="Arial" w:cs="Arial"/>
          <w:sz w:val="24"/>
          <w:szCs w:val="24"/>
          <w:lang w:eastAsia="es-ES"/>
        </w:rPr>
        <w:t xml:space="preserve"> asuntos </w:t>
      </w:r>
      <w:r w:rsidR="00EA4EBF" w:rsidRPr="00BB53C0">
        <w:rPr>
          <w:rFonts w:ascii="Arial" w:eastAsia="Times New Roman" w:hAnsi="Arial" w:cs="Arial"/>
          <w:sz w:val="24"/>
          <w:szCs w:val="24"/>
          <w:lang w:eastAsia="es-ES"/>
        </w:rPr>
        <w:t>menos</w:t>
      </w:r>
      <w:r w:rsidRPr="00BB53C0">
        <w:rPr>
          <w:rFonts w:ascii="Arial" w:eastAsia="Times New Roman" w:hAnsi="Arial" w:cs="Arial"/>
          <w:sz w:val="24"/>
          <w:szCs w:val="24"/>
          <w:lang w:eastAsia="es-ES"/>
        </w:rPr>
        <w:t xml:space="preserve"> activos en relación con el año 201</w:t>
      </w:r>
      <w:r w:rsidR="00EA4EBF" w:rsidRPr="00BB53C0">
        <w:rPr>
          <w:rFonts w:ascii="Arial" w:eastAsia="Times New Roman" w:hAnsi="Arial" w:cs="Arial"/>
          <w:sz w:val="24"/>
          <w:szCs w:val="24"/>
          <w:lang w:eastAsia="es-ES"/>
        </w:rPr>
        <w:t>9</w:t>
      </w:r>
      <w:r w:rsidRPr="00BB53C0">
        <w:rPr>
          <w:rFonts w:ascii="Arial" w:eastAsia="Times New Roman" w:hAnsi="Arial" w:cs="Arial"/>
          <w:sz w:val="24"/>
          <w:szCs w:val="24"/>
          <w:lang w:eastAsia="es-ES"/>
        </w:rPr>
        <w:t>.</w:t>
      </w:r>
    </w:p>
    <w:p w14:paraId="4BB14DAE" w14:textId="77777777" w:rsidR="00512561" w:rsidRPr="00BB53C0" w:rsidRDefault="00512561">
      <w:pPr>
        <w:spacing w:after="0" w:line="240" w:lineRule="auto"/>
        <w:rPr>
          <w:rFonts w:ascii="Arial" w:eastAsia="Times New Roman" w:hAnsi="Arial" w:cs="Arial"/>
          <w:b/>
          <w:i/>
          <w:sz w:val="24"/>
          <w:szCs w:val="24"/>
          <w:lang w:eastAsia="es-ES"/>
        </w:rPr>
      </w:pPr>
      <w:r w:rsidRPr="00BB53C0">
        <w:rPr>
          <w:rFonts w:ascii="Arial" w:eastAsia="Times New Roman" w:hAnsi="Arial" w:cs="Arial"/>
          <w:b/>
          <w:i/>
          <w:sz w:val="24"/>
          <w:szCs w:val="24"/>
          <w:lang w:eastAsia="es-ES"/>
        </w:rPr>
        <w:br w:type="page"/>
      </w:r>
    </w:p>
    <w:p w14:paraId="4CAFA37D" w14:textId="164DDDFC" w:rsidR="00D958F4" w:rsidRPr="00CE0A7E" w:rsidRDefault="00D958F4" w:rsidP="009A34F1">
      <w:pPr>
        <w:autoSpaceDE w:val="0"/>
        <w:autoSpaceDN w:val="0"/>
        <w:adjustRightInd w:val="0"/>
        <w:spacing w:after="0" w:line="360" w:lineRule="auto"/>
        <w:jc w:val="center"/>
        <w:rPr>
          <w:rFonts w:ascii="Arial" w:eastAsia="Times New Roman" w:hAnsi="Arial" w:cs="Arial"/>
          <w:b/>
          <w:i/>
          <w:sz w:val="28"/>
          <w:szCs w:val="28"/>
          <w:lang w:eastAsia="es-ES"/>
        </w:rPr>
      </w:pPr>
      <w:r w:rsidRPr="00CE0A7E">
        <w:rPr>
          <w:rFonts w:ascii="Arial" w:eastAsia="Times New Roman" w:hAnsi="Arial" w:cs="Arial"/>
          <w:b/>
          <w:i/>
          <w:sz w:val="28"/>
          <w:szCs w:val="28"/>
          <w:lang w:eastAsia="es-ES"/>
        </w:rPr>
        <w:lastRenderedPageBreak/>
        <w:t xml:space="preserve">Balance General Anual de </w:t>
      </w:r>
      <w:r w:rsidR="002E3D0E" w:rsidRPr="00CE0A7E">
        <w:rPr>
          <w:rFonts w:ascii="Arial" w:eastAsia="Times New Roman" w:hAnsi="Arial" w:cs="Arial"/>
          <w:b/>
          <w:i/>
          <w:sz w:val="28"/>
          <w:szCs w:val="28"/>
          <w:lang w:eastAsia="es-ES"/>
        </w:rPr>
        <w:t>2020</w:t>
      </w:r>
    </w:p>
    <w:p w14:paraId="4449DC32" w14:textId="77777777" w:rsidR="00512561" w:rsidRPr="00BB53C0" w:rsidRDefault="00512561" w:rsidP="009A34F1">
      <w:pPr>
        <w:autoSpaceDE w:val="0"/>
        <w:autoSpaceDN w:val="0"/>
        <w:adjustRightInd w:val="0"/>
        <w:spacing w:after="0" w:line="360" w:lineRule="auto"/>
        <w:jc w:val="center"/>
        <w:rPr>
          <w:rFonts w:ascii="Arial" w:eastAsia="Times New Roman" w:hAnsi="Arial" w:cs="Arial"/>
          <w:b/>
          <w:i/>
          <w:sz w:val="24"/>
          <w:szCs w:val="24"/>
          <w:lang w:val="es-ES_tradnl" w:eastAsia="es-ES"/>
        </w:rPr>
      </w:pPr>
    </w:p>
    <w:p w14:paraId="568B2E8F" w14:textId="0694B4A4" w:rsidR="002F7058" w:rsidRPr="00BB53C0" w:rsidRDefault="002E3D0E" w:rsidP="002A12BB">
      <w:pPr>
        <w:autoSpaceDE w:val="0"/>
        <w:autoSpaceDN w:val="0"/>
        <w:adjustRightInd w:val="0"/>
        <w:spacing w:after="0" w:line="360" w:lineRule="auto"/>
        <w:ind w:firstLine="709"/>
        <w:jc w:val="both"/>
        <w:rPr>
          <w:rFonts w:ascii="Arial" w:eastAsia="Times New Roman" w:hAnsi="Arial" w:cs="Arial"/>
          <w:sz w:val="24"/>
          <w:szCs w:val="24"/>
          <w:lang w:val="es-ES_tradnl" w:eastAsia="es-ES"/>
        </w:rPr>
      </w:pPr>
      <w:r w:rsidRPr="00BB53C0">
        <w:rPr>
          <w:rFonts w:ascii="Arial" w:hAnsi="Arial" w:cs="Arial"/>
          <w:noProof/>
        </w:rPr>
        <w:drawing>
          <wp:inline distT="0" distB="0" distL="0" distR="0" wp14:anchorId="11E2BB77" wp14:editId="253547F2">
            <wp:extent cx="5509260" cy="5783580"/>
            <wp:effectExtent l="0" t="0" r="0" b="7620"/>
            <wp:docPr id="59" name="Gráfico 59">
              <a:extLst xmlns:a="http://schemas.openxmlformats.org/drawingml/2006/main">
                <a:ext uri="{FF2B5EF4-FFF2-40B4-BE49-F238E27FC236}">
                  <a16:creationId xmlns:a16="http://schemas.microsoft.com/office/drawing/2014/main" id="{00000000-0008-0000-0000-000006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921E4D" w14:textId="77777777"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7AA13CEC" w14:textId="78BD9A7B" w:rsidR="00D958F4" w:rsidRPr="00BB53C0" w:rsidRDefault="00A308C0" w:rsidP="002A12BB">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hAnsi="Arial" w:cs="Arial"/>
          <w:noProof/>
        </w:rPr>
        <w:lastRenderedPageBreak/>
        <w:drawing>
          <wp:inline distT="0" distB="0" distL="0" distR="0" wp14:anchorId="1CDC4A56" wp14:editId="341BAA17">
            <wp:extent cx="6385560" cy="6004560"/>
            <wp:effectExtent l="0" t="0" r="15240" b="15240"/>
            <wp:docPr id="2" name="Gráfico 2">
              <a:extLst xmlns:a="http://schemas.openxmlformats.org/drawingml/2006/main">
                <a:ext uri="{FF2B5EF4-FFF2-40B4-BE49-F238E27FC236}">
                  <a16:creationId xmlns:a16="http://schemas.microsoft.com/office/drawing/2014/main" id="{00000000-0008-0000-0100-000001C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AB187B" w14:textId="77777777" w:rsidR="00D958F4" w:rsidRPr="00BB53C0" w:rsidRDefault="00D958F4" w:rsidP="002A12BB">
      <w:pPr>
        <w:autoSpaceDE w:val="0"/>
        <w:autoSpaceDN w:val="0"/>
        <w:adjustRightInd w:val="0"/>
        <w:spacing w:after="0" w:line="360" w:lineRule="auto"/>
        <w:jc w:val="both"/>
        <w:rPr>
          <w:rFonts w:ascii="Arial" w:eastAsia="Times New Roman" w:hAnsi="Arial" w:cs="Arial"/>
          <w:b/>
          <w:i/>
          <w:sz w:val="24"/>
          <w:szCs w:val="24"/>
          <w:lang w:eastAsia="es-ES"/>
        </w:rPr>
      </w:pPr>
    </w:p>
    <w:p w14:paraId="3CD6EC25" w14:textId="77777777" w:rsidR="00D958F4" w:rsidRPr="00BB53C0" w:rsidRDefault="00D958F4" w:rsidP="002F7058">
      <w:pPr>
        <w:pStyle w:val="Ttulo2"/>
        <w:spacing w:line="360" w:lineRule="auto"/>
        <w:rPr>
          <w:rFonts w:cs="Arial"/>
          <w:sz w:val="24"/>
          <w:szCs w:val="24"/>
        </w:rPr>
      </w:pPr>
      <w:bookmarkStart w:id="14" w:name="_Toc510690321"/>
      <w:r w:rsidRPr="00BB53C0">
        <w:rPr>
          <w:rFonts w:cs="Arial"/>
          <w:sz w:val="24"/>
          <w:szCs w:val="24"/>
        </w:rPr>
        <w:t>Asuntos Ingresados:</w:t>
      </w:r>
      <w:bookmarkEnd w:id="14"/>
    </w:p>
    <w:p w14:paraId="1C2E0988" w14:textId="7A7AF207" w:rsidR="00D958F4" w:rsidRPr="00BB53C0" w:rsidRDefault="00D958F4" w:rsidP="002F7058">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eastAsia="Times New Roman" w:hAnsi="Arial" w:cs="Arial"/>
          <w:sz w:val="24"/>
          <w:szCs w:val="24"/>
          <w:lang w:eastAsia="es-ES"/>
        </w:rPr>
        <w:tab/>
        <w:t>Durante el año 20</w:t>
      </w:r>
      <w:r w:rsidR="00A308C0" w:rsidRPr="00BB53C0">
        <w:rPr>
          <w:rFonts w:ascii="Arial" w:eastAsia="Times New Roman" w:hAnsi="Arial" w:cs="Arial"/>
          <w:sz w:val="24"/>
          <w:szCs w:val="24"/>
          <w:lang w:eastAsia="es-ES"/>
        </w:rPr>
        <w:t>20</w:t>
      </w:r>
      <w:r w:rsidRPr="00BB53C0">
        <w:rPr>
          <w:rFonts w:ascii="Arial" w:eastAsia="Times New Roman" w:hAnsi="Arial" w:cs="Arial"/>
          <w:sz w:val="24"/>
          <w:szCs w:val="24"/>
          <w:lang w:eastAsia="es-ES"/>
        </w:rPr>
        <w:t xml:space="preserve">, en Materia Penal Juvenil ingresaron </w:t>
      </w:r>
      <w:r w:rsidR="00A308C0" w:rsidRPr="00BB53C0">
        <w:rPr>
          <w:rFonts w:ascii="Arial" w:eastAsia="Times New Roman" w:hAnsi="Arial" w:cs="Arial"/>
          <w:sz w:val="24"/>
          <w:szCs w:val="24"/>
          <w:lang w:eastAsia="es-ES"/>
        </w:rPr>
        <w:t>25</w:t>
      </w:r>
      <w:r w:rsidRPr="00BB53C0">
        <w:rPr>
          <w:rFonts w:ascii="Arial" w:eastAsia="Times New Roman" w:hAnsi="Arial" w:cs="Arial"/>
          <w:sz w:val="24"/>
          <w:szCs w:val="24"/>
          <w:lang w:eastAsia="es-ES"/>
        </w:rPr>
        <w:t xml:space="preserve"> asuntos, lo que significa </w:t>
      </w:r>
      <w:r w:rsidR="000328E6" w:rsidRPr="00BB53C0">
        <w:rPr>
          <w:rFonts w:ascii="Arial" w:eastAsia="Times New Roman" w:hAnsi="Arial" w:cs="Arial"/>
          <w:sz w:val="24"/>
          <w:szCs w:val="24"/>
          <w:lang w:eastAsia="es-ES"/>
        </w:rPr>
        <w:t>2</w:t>
      </w:r>
      <w:r w:rsidR="00A308C0" w:rsidRPr="00BB53C0">
        <w:rPr>
          <w:rFonts w:ascii="Arial" w:eastAsia="Times New Roman" w:hAnsi="Arial" w:cs="Arial"/>
          <w:sz w:val="24"/>
          <w:szCs w:val="24"/>
          <w:lang w:eastAsia="es-ES"/>
        </w:rPr>
        <w:t>8</w:t>
      </w:r>
      <w:r w:rsidRPr="00BB53C0">
        <w:rPr>
          <w:rFonts w:ascii="Arial" w:eastAsia="Times New Roman" w:hAnsi="Arial" w:cs="Arial"/>
          <w:sz w:val="24"/>
          <w:szCs w:val="24"/>
          <w:lang w:eastAsia="es-ES"/>
        </w:rPr>
        <w:t xml:space="preserve"> asuntos </w:t>
      </w:r>
      <w:r w:rsidR="00A308C0" w:rsidRPr="00BB53C0">
        <w:rPr>
          <w:rFonts w:ascii="Arial" w:eastAsia="Times New Roman" w:hAnsi="Arial" w:cs="Arial"/>
          <w:sz w:val="24"/>
          <w:szCs w:val="24"/>
          <w:lang w:eastAsia="es-ES"/>
        </w:rPr>
        <w:t>menos</w:t>
      </w:r>
      <w:r w:rsidRPr="00BB53C0">
        <w:rPr>
          <w:rFonts w:ascii="Arial" w:eastAsia="Times New Roman" w:hAnsi="Arial" w:cs="Arial"/>
          <w:sz w:val="24"/>
          <w:szCs w:val="24"/>
          <w:lang w:eastAsia="es-ES"/>
        </w:rPr>
        <w:t xml:space="preserve"> en relación con el año 201</w:t>
      </w:r>
      <w:r w:rsidR="00A308C0" w:rsidRPr="00BB53C0">
        <w:rPr>
          <w:rFonts w:ascii="Arial" w:eastAsia="Times New Roman" w:hAnsi="Arial" w:cs="Arial"/>
          <w:sz w:val="24"/>
          <w:szCs w:val="24"/>
          <w:lang w:eastAsia="es-ES"/>
        </w:rPr>
        <w:t>9</w:t>
      </w:r>
      <w:r w:rsidRPr="00BB53C0">
        <w:rPr>
          <w:rFonts w:ascii="Arial" w:eastAsia="Times New Roman" w:hAnsi="Arial" w:cs="Arial"/>
          <w:sz w:val="24"/>
          <w:szCs w:val="24"/>
          <w:lang w:eastAsia="es-ES"/>
        </w:rPr>
        <w:t xml:space="preserve"> y </w:t>
      </w:r>
      <w:r w:rsidR="00A308C0" w:rsidRPr="00BB53C0">
        <w:rPr>
          <w:rFonts w:ascii="Arial" w:eastAsia="Times New Roman" w:hAnsi="Arial" w:cs="Arial"/>
          <w:sz w:val="24"/>
          <w:szCs w:val="24"/>
          <w:lang w:eastAsia="es-ES"/>
        </w:rPr>
        <w:t>3</w:t>
      </w:r>
      <w:r w:rsidR="00745022" w:rsidRPr="00BB53C0">
        <w:rPr>
          <w:rFonts w:ascii="Arial" w:eastAsia="Times New Roman" w:hAnsi="Arial" w:cs="Arial"/>
          <w:sz w:val="24"/>
          <w:szCs w:val="24"/>
          <w:lang w:eastAsia="es-ES"/>
        </w:rPr>
        <w:t xml:space="preserve"> asuntos </w:t>
      </w:r>
      <w:r w:rsidR="00A308C0" w:rsidRPr="00BB53C0">
        <w:rPr>
          <w:rFonts w:ascii="Arial" w:eastAsia="Times New Roman" w:hAnsi="Arial" w:cs="Arial"/>
          <w:sz w:val="24"/>
          <w:szCs w:val="24"/>
          <w:lang w:eastAsia="es-ES"/>
        </w:rPr>
        <w:t xml:space="preserve">menos </w:t>
      </w:r>
      <w:r w:rsidRPr="00BB53C0">
        <w:rPr>
          <w:rFonts w:ascii="Arial" w:eastAsia="Times New Roman" w:hAnsi="Arial" w:cs="Arial"/>
          <w:sz w:val="24"/>
          <w:szCs w:val="24"/>
          <w:lang w:eastAsia="es-ES"/>
        </w:rPr>
        <w:t>en relación con los asuntos ingresados durante el año 201</w:t>
      </w:r>
      <w:r w:rsidR="000328E6" w:rsidRPr="00BB53C0">
        <w:rPr>
          <w:rFonts w:ascii="Arial" w:eastAsia="Times New Roman" w:hAnsi="Arial" w:cs="Arial"/>
          <w:sz w:val="24"/>
          <w:szCs w:val="24"/>
          <w:lang w:eastAsia="es-ES"/>
        </w:rPr>
        <w:t>4</w:t>
      </w:r>
      <w:r w:rsidRPr="00BB53C0">
        <w:rPr>
          <w:rFonts w:ascii="Arial" w:eastAsia="Times New Roman" w:hAnsi="Arial" w:cs="Arial"/>
          <w:sz w:val="24"/>
          <w:szCs w:val="24"/>
          <w:lang w:eastAsia="es-ES"/>
        </w:rPr>
        <w:t xml:space="preserve">. De los </w:t>
      </w:r>
      <w:r w:rsidR="00A308C0" w:rsidRPr="00BB53C0">
        <w:rPr>
          <w:rFonts w:ascii="Arial" w:eastAsia="Times New Roman" w:hAnsi="Arial" w:cs="Arial"/>
          <w:sz w:val="24"/>
          <w:szCs w:val="24"/>
          <w:lang w:eastAsia="es-ES"/>
        </w:rPr>
        <w:t xml:space="preserve">25 </w:t>
      </w:r>
      <w:r w:rsidRPr="00BB53C0">
        <w:rPr>
          <w:rFonts w:ascii="Arial" w:eastAsia="Times New Roman" w:hAnsi="Arial" w:cs="Arial"/>
          <w:sz w:val="24"/>
          <w:szCs w:val="24"/>
          <w:lang w:eastAsia="es-ES"/>
        </w:rPr>
        <w:t xml:space="preserve">asuntos ingresados, </w:t>
      </w:r>
      <w:r w:rsidR="00A308C0" w:rsidRPr="00BB53C0">
        <w:rPr>
          <w:rFonts w:ascii="Arial" w:eastAsia="Times New Roman" w:hAnsi="Arial" w:cs="Arial"/>
          <w:sz w:val="24"/>
          <w:szCs w:val="24"/>
          <w:lang w:eastAsia="es-ES"/>
        </w:rPr>
        <w:t>17</w:t>
      </w:r>
      <w:r w:rsidRPr="00BB53C0">
        <w:rPr>
          <w:rFonts w:ascii="Arial" w:eastAsia="Times New Roman" w:hAnsi="Arial" w:cs="Arial"/>
          <w:sz w:val="24"/>
          <w:szCs w:val="24"/>
          <w:lang w:eastAsia="es-ES"/>
        </w:rPr>
        <w:t xml:space="preserve"> asuntos corresponden a Recursos de Casación, </w:t>
      </w:r>
      <w:r w:rsidR="00A308C0" w:rsidRPr="00BB53C0">
        <w:rPr>
          <w:rFonts w:ascii="Arial" w:eastAsia="Times New Roman" w:hAnsi="Arial" w:cs="Arial"/>
          <w:sz w:val="24"/>
          <w:szCs w:val="24"/>
          <w:lang w:eastAsia="es-ES"/>
        </w:rPr>
        <w:t>22</w:t>
      </w:r>
      <w:r w:rsidRPr="00BB53C0">
        <w:rPr>
          <w:rFonts w:ascii="Arial" w:eastAsia="Times New Roman" w:hAnsi="Arial" w:cs="Arial"/>
          <w:sz w:val="24"/>
          <w:szCs w:val="24"/>
          <w:lang w:eastAsia="es-ES"/>
        </w:rPr>
        <w:t xml:space="preserve"> asuntos </w:t>
      </w:r>
      <w:r w:rsidR="00A308C0" w:rsidRPr="00BB53C0">
        <w:rPr>
          <w:rFonts w:ascii="Arial" w:eastAsia="Times New Roman" w:hAnsi="Arial" w:cs="Arial"/>
          <w:sz w:val="24"/>
          <w:szCs w:val="24"/>
          <w:lang w:eastAsia="es-ES"/>
        </w:rPr>
        <w:t>menos</w:t>
      </w:r>
      <w:r w:rsidRPr="00BB53C0">
        <w:rPr>
          <w:rFonts w:ascii="Arial" w:eastAsia="Times New Roman" w:hAnsi="Arial" w:cs="Arial"/>
          <w:sz w:val="24"/>
          <w:szCs w:val="24"/>
          <w:lang w:eastAsia="es-ES"/>
        </w:rPr>
        <w:t xml:space="preserve"> que el año 201</w:t>
      </w:r>
      <w:r w:rsidR="00A308C0" w:rsidRPr="00BB53C0">
        <w:rPr>
          <w:rFonts w:ascii="Arial" w:eastAsia="Times New Roman" w:hAnsi="Arial" w:cs="Arial"/>
          <w:sz w:val="24"/>
          <w:szCs w:val="24"/>
          <w:lang w:eastAsia="es-ES"/>
        </w:rPr>
        <w:t>9</w:t>
      </w:r>
      <w:r w:rsidRPr="00BB53C0">
        <w:rPr>
          <w:rFonts w:ascii="Arial" w:eastAsia="Times New Roman" w:hAnsi="Arial" w:cs="Arial"/>
          <w:sz w:val="24"/>
          <w:szCs w:val="24"/>
          <w:lang w:eastAsia="es-ES"/>
        </w:rPr>
        <w:t xml:space="preserve">; </w:t>
      </w:r>
      <w:r w:rsidR="00A308C0" w:rsidRPr="00BB53C0">
        <w:rPr>
          <w:rFonts w:ascii="Arial" w:eastAsia="Times New Roman" w:hAnsi="Arial" w:cs="Arial"/>
          <w:sz w:val="24"/>
          <w:szCs w:val="24"/>
          <w:lang w:eastAsia="es-ES"/>
        </w:rPr>
        <w:t>2</w:t>
      </w:r>
      <w:r w:rsidRPr="00BB53C0">
        <w:rPr>
          <w:rFonts w:ascii="Arial" w:eastAsia="Times New Roman" w:hAnsi="Arial" w:cs="Arial"/>
          <w:sz w:val="24"/>
          <w:szCs w:val="24"/>
          <w:lang w:eastAsia="es-ES"/>
        </w:rPr>
        <w:t xml:space="preserve"> asunto</w:t>
      </w:r>
      <w:r w:rsidR="00A308C0" w:rsidRPr="00BB53C0">
        <w:rPr>
          <w:rFonts w:ascii="Arial" w:eastAsia="Times New Roman" w:hAnsi="Arial" w:cs="Arial"/>
          <w:sz w:val="24"/>
          <w:szCs w:val="24"/>
          <w:lang w:eastAsia="es-ES"/>
        </w:rPr>
        <w:t>s</w:t>
      </w:r>
      <w:r w:rsidRPr="00BB53C0">
        <w:rPr>
          <w:rFonts w:ascii="Arial" w:eastAsia="Times New Roman" w:hAnsi="Arial" w:cs="Arial"/>
          <w:sz w:val="24"/>
          <w:szCs w:val="24"/>
          <w:lang w:eastAsia="es-ES"/>
        </w:rPr>
        <w:t xml:space="preserve"> </w:t>
      </w:r>
      <w:r w:rsidR="000328E6" w:rsidRPr="00BB53C0">
        <w:rPr>
          <w:rFonts w:ascii="Arial" w:eastAsia="Times New Roman" w:hAnsi="Arial" w:cs="Arial"/>
          <w:sz w:val="24"/>
          <w:szCs w:val="24"/>
          <w:lang w:eastAsia="es-ES"/>
        </w:rPr>
        <w:t>como</w:t>
      </w:r>
      <w:r w:rsidRPr="00BB53C0">
        <w:rPr>
          <w:rFonts w:ascii="Arial" w:eastAsia="Times New Roman" w:hAnsi="Arial" w:cs="Arial"/>
          <w:sz w:val="24"/>
          <w:szCs w:val="24"/>
          <w:lang w:eastAsia="es-ES"/>
        </w:rPr>
        <w:t xml:space="preserve"> Procedimiento de Revisión, lo que significa 1 </w:t>
      </w:r>
      <w:r w:rsidR="00BB53C0" w:rsidRPr="00BB53C0">
        <w:rPr>
          <w:rFonts w:ascii="Arial" w:eastAsia="Times New Roman" w:hAnsi="Arial" w:cs="Arial"/>
          <w:sz w:val="24"/>
          <w:szCs w:val="24"/>
          <w:lang w:eastAsia="es-ES"/>
        </w:rPr>
        <w:t>más</w:t>
      </w:r>
      <w:r w:rsidRPr="00BB53C0">
        <w:rPr>
          <w:rFonts w:ascii="Arial" w:eastAsia="Times New Roman" w:hAnsi="Arial" w:cs="Arial"/>
          <w:sz w:val="24"/>
          <w:szCs w:val="24"/>
          <w:lang w:eastAsia="es-ES"/>
        </w:rPr>
        <w:t xml:space="preserve"> en relación con el </w:t>
      </w:r>
      <w:r w:rsidRPr="00BB53C0">
        <w:rPr>
          <w:rFonts w:ascii="Arial" w:eastAsia="Times New Roman" w:hAnsi="Arial" w:cs="Arial"/>
          <w:sz w:val="24"/>
          <w:szCs w:val="24"/>
          <w:lang w:eastAsia="es-ES"/>
        </w:rPr>
        <w:lastRenderedPageBreak/>
        <w:t xml:space="preserve">periodo anterior y </w:t>
      </w:r>
      <w:r w:rsidR="00A308C0" w:rsidRPr="00BB53C0">
        <w:rPr>
          <w:rFonts w:ascii="Arial" w:eastAsia="Times New Roman" w:hAnsi="Arial" w:cs="Arial"/>
          <w:sz w:val="24"/>
          <w:szCs w:val="24"/>
          <w:lang w:eastAsia="es-ES"/>
        </w:rPr>
        <w:t>6</w:t>
      </w:r>
      <w:r w:rsidRPr="00BB53C0">
        <w:rPr>
          <w:rFonts w:ascii="Arial" w:eastAsia="Times New Roman" w:hAnsi="Arial" w:cs="Arial"/>
          <w:sz w:val="24"/>
          <w:szCs w:val="24"/>
          <w:lang w:eastAsia="es-ES"/>
        </w:rPr>
        <w:t xml:space="preserve"> a Conflictos de Competencia, lo que significa </w:t>
      </w:r>
      <w:r w:rsidR="00A308C0" w:rsidRPr="00BB53C0">
        <w:rPr>
          <w:rFonts w:ascii="Arial" w:eastAsia="Times New Roman" w:hAnsi="Arial" w:cs="Arial"/>
          <w:sz w:val="24"/>
          <w:szCs w:val="24"/>
          <w:lang w:eastAsia="es-ES"/>
        </w:rPr>
        <w:t>7 asuntos menos</w:t>
      </w:r>
      <w:r w:rsidRPr="00BB53C0">
        <w:rPr>
          <w:rFonts w:ascii="Arial" w:eastAsia="Times New Roman" w:hAnsi="Arial" w:cs="Arial"/>
          <w:sz w:val="24"/>
          <w:szCs w:val="24"/>
          <w:lang w:eastAsia="es-ES"/>
        </w:rPr>
        <w:t xml:space="preserve"> que el 201</w:t>
      </w:r>
      <w:r w:rsidR="00A308C0" w:rsidRPr="00BB53C0">
        <w:rPr>
          <w:rFonts w:ascii="Arial" w:eastAsia="Times New Roman" w:hAnsi="Arial" w:cs="Arial"/>
          <w:sz w:val="24"/>
          <w:szCs w:val="24"/>
          <w:lang w:eastAsia="es-ES"/>
        </w:rPr>
        <w:t>9</w:t>
      </w:r>
      <w:r w:rsidRPr="00BB53C0">
        <w:rPr>
          <w:rFonts w:ascii="Arial" w:eastAsia="Times New Roman" w:hAnsi="Arial" w:cs="Arial"/>
          <w:sz w:val="24"/>
          <w:szCs w:val="24"/>
          <w:lang w:eastAsia="es-ES"/>
        </w:rPr>
        <w:t xml:space="preserve">. </w:t>
      </w:r>
    </w:p>
    <w:p w14:paraId="2D3061D3" w14:textId="77777777"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3425B711" w14:textId="3382D562" w:rsidR="00D958F4" w:rsidRPr="00140351" w:rsidRDefault="00B2218C" w:rsidP="00140351">
      <w:pPr>
        <w:autoSpaceDE w:val="0"/>
        <w:autoSpaceDN w:val="0"/>
        <w:adjustRightInd w:val="0"/>
        <w:spacing w:after="0" w:line="360" w:lineRule="auto"/>
        <w:jc w:val="right"/>
        <w:rPr>
          <w:rFonts w:ascii="Arial" w:eastAsia="Times New Roman" w:hAnsi="Arial" w:cs="Arial"/>
          <w:b/>
          <w:bCs/>
          <w:sz w:val="24"/>
          <w:szCs w:val="24"/>
          <w:lang w:eastAsia="es-ES"/>
        </w:rPr>
      </w:pPr>
      <w:r w:rsidRPr="00140351">
        <w:rPr>
          <w:rFonts w:ascii="Arial" w:hAnsi="Arial" w:cs="Arial"/>
          <w:b/>
          <w:bCs/>
          <w:noProof/>
        </w:rPr>
        <w:drawing>
          <wp:inline distT="0" distB="0" distL="0" distR="0" wp14:anchorId="3D40DE4D" wp14:editId="760254CE">
            <wp:extent cx="5971540" cy="7178040"/>
            <wp:effectExtent l="0" t="0" r="10160" b="3810"/>
            <wp:docPr id="3" name="Gráfico 3">
              <a:extLst xmlns:a="http://schemas.openxmlformats.org/drawingml/2006/main">
                <a:ext uri="{FF2B5EF4-FFF2-40B4-BE49-F238E27FC236}">
                  <a16:creationId xmlns:a16="http://schemas.microsoft.com/office/drawing/2014/main" id="{00000000-0008-0000-0200-0000019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ECD1BB" w14:textId="77777777" w:rsidR="00274B71" w:rsidRPr="00BB53C0" w:rsidRDefault="00274B71" w:rsidP="002A12BB">
      <w:pPr>
        <w:autoSpaceDE w:val="0"/>
        <w:autoSpaceDN w:val="0"/>
        <w:adjustRightInd w:val="0"/>
        <w:spacing w:after="0" w:line="360" w:lineRule="auto"/>
        <w:jc w:val="both"/>
        <w:rPr>
          <w:rFonts w:ascii="Arial" w:eastAsia="Times New Roman" w:hAnsi="Arial" w:cs="Arial"/>
          <w:sz w:val="24"/>
          <w:szCs w:val="24"/>
          <w:lang w:eastAsia="es-ES"/>
        </w:rPr>
      </w:pPr>
    </w:p>
    <w:p w14:paraId="723C892E" w14:textId="77777777" w:rsidR="00D958F4" w:rsidRPr="00BB53C0" w:rsidRDefault="00D958F4" w:rsidP="002F7058">
      <w:pPr>
        <w:pStyle w:val="Ttulo2"/>
        <w:spacing w:line="360" w:lineRule="auto"/>
        <w:rPr>
          <w:rFonts w:cs="Arial"/>
          <w:sz w:val="24"/>
          <w:szCs w:val="24"/>
        </w:rPr>
      </w:pPr>
      <w:bookmarkStart w:id="15" w:name="_Toc510690323"/>
      <w:r w:rsidRPr="00BB53C0">
        <w:rPr>
          <w:rFonts w:cs="Arial"/>
          <w:sz w:val="24"/>
          <w:szCs w:val="24"/>
        </w:rPr>
        <w:lastRenderedPageBreak/>
        <w:t>Asuntos resueltos:</w:t>
      </w:r>
      <w:bookmarkEnd w:id="15"/>
    </w:p>
    <w:p w14:paraId="1767A2A6" w14:textId="26B4C909" w:rsidR="00D958F4" w:rsidRPr="00BB53C0" w:rsidRDefault="00D958F4" w:rsidP="002F7058">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eastAsia="Times New Roman" w:hAnsi="Arial" w:cs="Arial"/>
          <w:sz w:val="24"/>
          <w:szCs w:val="24"/>
          <w:lang w:eastAsia="es-ES"/>
        </w:rPr>
        <w:tab/>
        <w:t>En relación a los asuntos resueltos en materia Penal Juvenil durante el año 20</w:t>
      </w:r>
      <w:r w:rsidR="00B2218C" w:rsidRPr="00BB53C0">
        <w:rPr>
          <w:rFonts w:ascii="Arial" w:eastAsia="Times New Roman" w:hAnsi="Arial" w:cs="Arial"/>
          <w:sz w:val="24"/>
          <w:szCs w:val="24"/>
          <w:lang w:eastAsia="es-ES"/>
        </w:rPr>
        <w:t>20</w:t>
      </w:r>
      <w:r w:rsidRPr="00BB53C0">
        <w:rPr>
          <w:rFonts w:ascii="Arial" w:eastAsia="Times New Roman" w:hAnsi="Arial" w:cs="Arial"/>
          <w:sz w:val="24"/>
          <w:szCs w:val="24"/>
          <w:lang w:eastAsia="es-ES"/>
        </w:rPr>
        <w:t xml:space="preserve">, tenemos que fueron un total de </w:t>
      </w:r>
      <w:r w:rsidR="00B2218C" w:rsidRPr="00BB53C0">
        <w:rPr>
          <w:rFonts w:ascii="Arial" w:eastAsia="Times New Roman" w:hAnsi="Arial" w:cs="Arial"/>
          <w:sz w:val="24"/>
          <w:szCs w:val="24"/>
          <w:lang w:eastAsia="es-ES"/>
        </w:rPr>
        <w:t>36</w:t>
      </w:r>
      <w:r w:rsidRPr="00BB53C0">
        <w:rPr>
          <w:rFonts w:ascii="Arial" w:eastAsia="Times New Roman" w:hAnsi="Arial" w:cs="Arial"/>
          <w:sz w:val="24"/>
          <w:szCs w:val="24"/>
          <w:lang w:eastAsia="es-ES"/>
        </w:rPr>
        <w:t xml:space="preserve"> asuntos, de los cuales </w:t>
      </w:r>
      <w:r w:rsidR="00B2218C" w:rsidRPr="00BB53C0">
        <w:rPr>
          <w:rFonts w:ascii="Arial" w:eastAsia="Times New Roman" w:hAnsi="Arial" w:cs="Arial"/>
          <w:sz w:val="24"/>
          <w:szCs w:val="24"/>
          <w:lang w:eastAsia="es-ES"/>
        </w:rPr>
        <w:t>30</w:t>
      </w:r>
      <w:r w:rsidRPr="00BB53C0">
        <w:rPr>
          <w:rFonts w:ascii="Arial" w:eastAsia="Times New Roman" w:hAnsi="Arial" w:cs="Arial"/>
          <w:sz w:val="24"/>
          <w:szCs w:val="24"/>
          <w:lang w:eastAsia="es-ES"/>
        </w:rPr>
        <w:t xml:space="preserve"> corresponden a Recursos de Casación; </w:t>
      </w:r>
      <w:r w:rsidR="00B2218C" w:rsidRPr="00BB53C0">
        <w:rPr>
          <w:rFonts w:ascii="Arial" w:eastAsia="Times New Roman" w:hAnsi="Arial" w:cs="Arial"/>
          <w:sz w:val="24"/>
          <w:szCs w:val="24"/>
          <w:lang w:eastAsia="es-ES"/>
        </w:rPr>
        <w:t xml:space="preserve">cero </w:t>
      </w:r>
      <w:r w:rsidRPr="00BB53C0">
        <w:rPr>
          <w:rFonts w:ascii="Arial" w:eastAsia="Times New Roman" w:hAnsi="Arial" w:cs="Arial"/>
          <w:sz w:val="24"/>
          <w:szCs w:val="24"/>
          <w:lang w:eastAsia="es-ES"/>
        </w:rPr>
        <w:t>Procedimiento</w:t>
      </w:r>
      <w:r w:rsidR="00B2218C" w:rsidRPr="00BB53C0">
        <w:rPr>
          <w:rFonts w:ascii="Arial" w:eastAsia="Times New Roman" w:hAnsi="Arial" w:cs="Arial"/>
          <w:sz w:val="24"/>
          <w:szCs w:val="24"/>
          <w:lang w:eastAsia="es-ES"/>
        </w:rPr>
        <w:t>s</w:t>
      </w:r>
      <w:r w:rsidRPr="00BB53C0">
        <w:rPr>
          <w:rFonts w:ascii="Arial" w:eastAsia="Times New Roman" w:hAnsi="Arial" w:cs="Arial"/>
          <w:sz w:val="24"/>
          <w:szCs w:val="24"/>
          <w:lang w:eastAsia="es-ES"/>
        </w:rPr>
        <w:t xml:space="preserve"> de Revisión y </w:t>
      </w:r>
      <w:r w:rsidR="00B2218C" w:rsidRPr="00BB53C0">
        <w:rPr>
          <w:rFonts w:ascii="Arial" w:eastAsia="Times New Roman" w:hAnsi="Arial" w:cs="Arial"/>
          <w:sz w:val="24"/>
          <w:szCs w:val="24"/>
          <w:lang w:eastAsia="es-ES"/>
        </w:rPr>
        <w:t>6</w:t>
      </w:r>
      <w:r w:rsidRPr="00BB53C0">
        <w:rPr>
          <w:rFonts w:ascii="Arial" w:eastAsia="Times New Roman" w:hAnsi="Arial" w:cs="Arial"/>
          <w:sz w:val="24"/>
          <w:szCs w:val="24"/>
          <w:lang w:eastAsia="es-ES"/>
        </w:rPr>
        <w:t xml:space="preserve"> a Conflictos de Competencia. De lo anterior, tenemos que el Circulante final a diciembre de 20</w:t>
      </w:r>
      <w:r w:rsidR="00B2218C" w:rsidRPr="00BB53C0">
        <w:rPr>
          <w:rFonts w:ascii="Arial" w:eastAsia="Times New Roman" w:hAnsi="Arial" w:cs="Arial"/>
          <w:sz w:val="24"/>
          <w:szCs w:val="24"/>
          <w:lang w:eastAsia="es-ES"/>
        </w:rPr>
        <w:t>20</w:t>
      </w:r>
      <w:r w:rsidRPr="00BB53C0">
        <w:rPr>
          <w:rFonts w:ascii="Arial" w:eastAsia="Times New Roman" w:hAnsi="Arial" w:cs="Arial"/>
          <w:sz w:val="24"/>
          <w:szCs w:val="24"/>
          <w:lang w:eastAsia="es-ES"/>
        </w:rPr>
        <w:t xml:space="preserve">, es de </w:t>
      </w:r>
      <w:r w:rsidR="00B2218C" w:rsidRPr="00BB53C0">
        <w:rPr>
          <w:rFonts w:ascii="Arial" w:eastAsia="Times New Roman" w:hAnsi="Arial" w:cs="Arial"/>
          <w:sz w:val="24"/>
          <w:szCs w:val="24"/>
          <w:lang w:eastAsia="es-ES"/>
        </w:rPr>
        <w:t xml:space="preserve">7 </w:t>
      </w:r>
      <w:r w:rsidRPr="00BB53C0">
        <w:rPr>
          <w:rFonts w:ascii="Arial" w:eastAsia="Times New Roman" w:hAnsi="Arial" w:cs="Arial"/>
          <w:sz w:val="24"/>
          <w:szCs w:val="24"/>
          <w:lang w:eastAsia="es-ES"/>
        </w:rPr>
        <w:t xml:space="preserve">asuntos, correspondiendo </w:t>
      </w:r>
      <w:r w:rsidR="00B2218C" w:rsidRPr="00BB53C0">
        <w:rPr>
          <w:rFonts w:ascii="Arial" w:eastAsia="Times New Roman" w:hAnsi="Arial" w:cs="Arial"/>
          <w:sz w:val="24"/>
          <w:szCs w:val="24"/>
          <w:lang w:eastAsia="es-ES"/>
        </w:rPr>
        <w:t xml:space="preserve">a 5 </w:t>
      </w:r>
      <w:r w:rsidRPr="00BB53C0">
        <w:rPr>
          <w:rFonts w:ascii="Arial" w:eastAsia="Times New Roman" w:hAnsi="Arial" w:cs="Arial"/>
          <w:sz w:val="24"/>
          <w:szCs w:val="24"/>
          <w:lang w:eastAsia="es-ES"/>
        </w:rPr>
        <w:t>Recursos de Casación</w:t>
      </w:r>
      <w:r w:rsidR="00B2218C" w:rsidRPr="00BB53C0">
        <w:rPr>
          <w:rFonts w:ascii="Arial" w:eastAsia="Times New Roman" w:hAnsi="Arial" w:cs="Arial"/>
          <w:sz w:val="24"/>
          <w:szCs w:val="24"/>
          <w:lang w:eastAsia="es-ES"/>
        </w:rPr>
        <w:t xml:space="preserve"> y 2 Procedimientos de Revisión.</w:t>
      </w:r>
    </w:p>
    <w:p w14:paraId="7DD7745F" w14:textId="77777777" w:rsidR="00D958F4" w:rsidRPr="00BB53C0" w:rsidRDefault="00D958F4" w:rsidP="002A12BB">
      <w:pPr>
        <w:autoSpaceDE w:val="0"/>
        <w:autoSpaceDN w:val="0"/>
        <w:adjustRightInd w:val="0"/>
        <w:spacing w:after="0" w:line="360" w:lineRule="auto"/>
        <w:jc w:val="both"/>
        <w:rPr>
          <w:rFonts w:ascii="Arial" w:eastAsia="Times New Roman" w:hAnsi="Arial" w:cs="Arial"/>
          <w:b/>
          <w:i/>
          <w:sz w:val="24"/>
          <w:szCs w:val="24"/>
          <w:lang w:eastAsia="es-ES"/>
        </w:rPr>
      </w:pPr>
    </w:p>
    <w:p w14:paraId="4D9857F2" w14:textId="388E34AE" w:rsidR="00D958F4" w:rsidRPr="00BB53C0" w:rsidRDefault="00B2218C" w:rsidP="002A12BB">
      <w:pPr>
        <w:autoSpaceDE w:val="0"/>
        <w:autoSpaceDN w:val="0"/>
        <w:adjustRightInd w:val="0"/>
        <w:spacing w:after="0" w:line="360" w:lineRule="auto"/>
        <w:jc w:val="both"/>
        <w:rPr>
          <w:rFonts w:ascii="Arial" w:eastAsia="Times New Roman" w:hAnsi="Arial" w:cs="Arial"/>
          <w:b/>
          <w:i/>
          <w:sz w:val="24"/>
          <w:szCs w:val="24"/>
          <w:lang w:eastAsia="es-ES"/>
        </w:rPr>
      </w:pPr>
      <w:r w:rsidRPr="00BB53C0">
        <w:rPr>
          <w:rFonts w:ascii="Arial" w:hAnsi="Arial" w:cs="Arial"/>
          <w:noProof/>
        </w:rPr>
        <w:drawing>
          <wp:inline distT="0" distB="0" distL="0" distR="0" wp14:anchorId="4287B660" wp14:editId="26087940">
            <wp:extent cx="5971540" cy="6050280"/>
            <wp:effectExtent l="0" t="0" r="10160" b="7620"/>
            <wp:docPr id="10" name="Gráfico 10">
              <a:extLst xmlns:a="http://schemas.openxmlformats.org/drawingml/2006/main">
                <a:ext uri="{FF2B5EF4-FFF2-40B4-BE49-F238E27FC236}">
                  <a16:creationId xmlns:a16="http://schemas.microsoft.com/office/drawing/2014/main" id="{00000000-0008-0000-0300-000001D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872CD6E" w14:textId="77777777" w:rsidR="00D958F4" w:rsidRPr="00BB53C0" w:rsidRDefault="00D958F4" w:rsidP="002A12BB">
      <w:pPr>
        <w:autoSpaceDE w:val="0"/>
        <w:autoSpaceDN w:val="0"/>
        <w:adjustRightInd w:val="0"/>
        <w:spacing w:after="0" w:line="360" w:lineRule="auto"/>
        <w:jc w:val="both"/>
        <w:rPr>
          <w:rFonts w:ascii="Arial" w:eastAsia="Times New Roman" w:hAnsi="Arial" w:cs="Arial"/>
          <w:b/>
          <w:i/>
          <w:sz w:val="24"/>
          <w:szCs w:val="24"/>
          <w:lang w:eastAsia="es-ES"/>
        </w:rPr>
      </w:pPr>
    </w:p>
    <w:p w14:paraId="173FF218" w14:textId="77777777" w:rsidR="00D958F4" w:rsidRPr="00BB53C0" w:rsidRDefault="00D958F4" w:rsidP="002A12BB">
      <w:pPr>
        <w:autoSpaceDE w:val="0"/>
        <w:autoSpaceDN w:val="0"/>
        <w:adjustRightInd w:val="0"/>
        <w:spacing w:after="0" w:line="360" w:lineRule="auto"/>
        <w:jc w:val="both"/>
        <w:rPr>
          <w:rFonts w:ascii="Arial" w:eastAsia="Times New Roman" w:hAnsi="Arial" w:cs="Arial"/>
          <w:b/>
          <w:i/>
          <w:sz w:val="24"/>
          <w:szCs w:val="24"/>
          <w:lang w:eastAsia="es-ES"/>
        </w:rPr>
      </w:pPr>
    </w:p>
    <w:p w14:paraId="71ACDDDB" w14:textId="3BEFFAA1" w:rsidR="00D958F4" w:rsidRPr="00BB53C0" w:rsidRDefault="00B2218C" w:rsidP="002A12BB">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hAnsi="Arial" w:cs="Arial"/>
          <w:noProof/>
        </w:rPr>
        <w:drawing>
          <wp:inline distT="0" distB="0" distL="0" distR="0" wp14:anchorId="006EBE3F" wp14:editId="1E85388C">
            <wp:extent cx="5971540" cy="5690870"/>
            <wp:effectExtent l="0" t="0" r="10160" b="5080"/>
            <wp:docPr id="41" name="Gráfico 41">
              <a:extLst xmlns:a="http://schemas.openxmlformats.org/drawingml/2006/main">
                <a:ext uri="{FF2B5EF4-FFF2-40B4-BE49-F238E27FC236}">
                  <a16:creationId xmlns:a16="http://schemas.microsoft.com/office/drawing/2014/main" id="{00000000-0008-0000-0700-000001C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FC80DBA" w14:textId="77777777"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08C35318" w14:textId="77777777"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48576DE0" w14:textId="327039C4"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5D1F0004" w14:textId="77777777" w:rsidR="00D958F4" w:rsidRPr="00BB53C0" w:rsidRDefault="00D958F4" w:rsidP="002A12BB">
      <w:pPr>
        <w:autoSpaceDE w:val="0"/>
        <w:autoSpaceDN w:val="0"/>
        <w:adjustRightInd w:val="0"/>
        <w:spacing w:after="0" w:line="360" w:lineRule="auto"/>
        <w:jc w:val="both"/>
        <w:rPr>
          <w:rFonts w:ascii="Arial" w:eastAsia="Times New Roman" w:hAnsi="Arial" w:cs="Arial"/>
          <w:sz w:val="24"/>
          <w:szCs w:val="24"/>
          <w:lang w:eastAsia="es-ES"/>
        </w:rPr>
      </w:pPr>
    </w:p>
    <w:p w14:paraId="09508AE6" w14:textId="00912408" w:rsidR="0095511D" w:rsidRPr="00BB53C0" w:rsidRDefault="0095511D" w:rsidP="00751B01">
      <w:pPr>
        <w:spacing w:after="240" w:line="360" w:lineRule="auto"/>
        <w:jc w:val="both"/>
        <w:rPr>
          <w:rFonts w:ascii="Arial" w:hAnsi="Arial" w:cs="Arial"/>
          <w:b/>
          <w:sz w:val="24"/>
          <w:szCs w:val="24"/>
        </w:rPr>
      </w:pPr>
    </w:p>
    <w:p w14:paraId="71ED4D2D" w14:textId="77777777" w:rsidR="0095511D" w:rsidRPr="00BB53C0" w:rsidRDefault="0095511D" w:rsidP="0095511D">
      <w:pPr>
        <w:spacing w:after="240" w:line="360" w:lineRule="auto"/>
        <w:ind w:left="1440"/>
        <w:jc w:val="both"/>
        <w:rPr>
          <w:rFonts w:ascii="Arial" w:hAnsi="Arial" w:cs="Arial"/>
          <w:b/>
          <w:sz w:val="24"/>
          <w:szCs w:val="24"/>
        </w:rPr>
      </w:pPr>
    </w:p>
    <w:p w14:paraId="37B6BD52" w14:textId="5BD223FE" w:rsidR="0095511D" w:rsidRPr="00BB53C0" w:rsidRDefault="0095511D" w:rsidP="0095511D">
      <w:pPr>
        <w:spacing w:after="240" w:line="360" w:lineRule="auto"/>
        <w:ind w:left="1440"/>
        <w:jc w:val="both"/>
        <w:rPr>
          <w:rFonts w:ascii="Arial" w:hAnsi="Arial" w:cs="Arial"/>
          <w:b/>
          <w:sz w:val="24"/>
          <w:szCs w:val="24"/>
        </w:rPr>
      </w:pPr>
    </w:p>
    <w:p w14:paraId="0F50191F" w14:textId="06CA7352" w:rsidR="00E512C8" w:rsidRPr="00BB53C0" w:rsidRDefault="00E512C8" w:rsidP="006606AE">
      <w:pPr>
        <w:pStyle w:val="Ttulo1"/>
        <w:jc w:val="center"/>
      </w:pPr>
      <w:bookmarkStart w:id="16" w:name="_Toc510690325"/>
      <w:r w:rsidRPr="00BB53C0">
        <w:lastRenderedPageBreak/>
        <w:t>ACTIVIDADES DE CAPACITACION:</w:t>
      </w:r>
      <w:bookmarkEnd w:id="16"/>
    </w:p>
    <w:p w14:paraId="76331040" w14:textId="3596F159" w:rsidR="00CE0A7E" w:rsidRDefault="00CE0A7E" w:rsidP="00CE0A7E">
      <w:pPr>
        <w:pStyle w:val="western"/>
        <w:spacing w:after="0" w:line="360" w:lineRule="auto"/>
        <w:jc w:val="both"/>
      </w:pPr>
      <w:r>
        <w:rPr>
          <w:rFonts w:ascii="Arial" w:hAnsi="Arial" w:cs="Arial"/>
          <w:sz w:val="24"/>
          <w:szCs w:val="24"/>
          <w:lang w:eastAsia="es-ES"/>
        </w:rPr>
        <w:t>E</w:t>
      </w:r>
      <w:r>
        <w:rPr>
          <w:rFonts w:ascii="Arial" w:hAnsi="Arial" w:cs="Arial"/>
          <w:sz w:val="24"/>
          <w:szCs w:val="24"/>
        </w:rPr>
        <w:t>n cuanto a las actividades de capacitación y proyección, durante el año 2020 se contó con varios cursos, a manera de ejemplo el curso “</w:t>
      </w:r>
      <w:r>
        <w:rPr>
          <w:rFonts w:ascii="Arial" w:hAnsi="Arial" w:cs="Arial"/>
          <w:i/>
          <w:iCs/>
          <w:sz w:val="24"/>
          <w:szCs w:val="24"/>
        </w:rPr>
        <w:t>Ciber delincuencia en el mundo globalizado, retos para la administración de la justicia penal</w:t>
      </w:r>
      <w:r>
        <w:rPr>
          <w:rFonts w:ascii="Arial" w:hAnsi="Arial" w:cs="Arial"/>
          <w:sz w:val="24"/>
          <w:szCs w:val="24"/>
        </w:rPr>
        <w:t xml:space="preserve">”, y capacitaciones virtuales, dirigidas a toda la población judicial, de gran interés la que se coordinó con la Dirección de Tecnología de la Información la charla Seguridad de la Información, de la cual se ha coordinado una campaña con el Departamento de Prensa y Comunicación Organizacional, en la que se divulgan las políticas y lineamientos asociados de seguridad de la información del Poder Judicial. </w:t>
      </w:r>
    </w:p>
    <w:p w14:paraId="200367C1" w14:textId="77777777" w:rsidR="00CE0A7E" w:rsidRDefault="00CE0A7E" w:rsidP="00CE0A7E">
      <w:pPr>
        <w:pStyle w:val="western"/>
        <w:spacing w:after="0" w:line="360" w:lineRule="auto"/>
      </w:pPr>
    </w:p>
    <w:p w14:paraId="12067C82" w14:textId="5958FC8E" w:rsidR="00A575DA" w:rsidRPr="00BB53C0" w:rsidRDefault="00A575DA" w:rsidP="0095511D">
      <w:pPr>
        <w:pStyle w:val="Prrafodelista"/>
        <w:spacing w:after="0" w:line="360" w:lineRule="auto"/>
        <w:ind w:left="1080"/>
        <w:jc w:val="both"/>
        <w:rPr>
          <w:rFonts w:ascii="Arial" w:hAnsi="Arial" w:cs="Arial"/>
          <w:b/>
          <w:sz w:val="24"/>
          <w:szCs w:val="24"/>
          <w:u w:val="single"/>
        </w:rPr>
      </w:pPr>
    </w:p>
    <w:p w14:paraId="45DDAED9" w14:textId="33480C3E"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6E0A79C4" w14:textId="22EE4CD7"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2B0698AB" w14:textId="77777777"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5F858400" w14:textId="46161C47"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5947994C" w14:textId="2AD0D9B8"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293D2AE8" w14:textId="2AA3CF90"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695E9383" w14:textId="6C4DFE60"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07249766" w14:textId="21D0D489"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0E780C62" w14:textId="77777777" w:rsidR="001C1AE1" w:rsidRPr="00BB53C0" w:rsidRDefault="001C1AE1" w:rsidP="0095511D">
      <w:pPr>
        <w:pStyle w:val="Prrafodelista"/>
        <w:spacing w:after="0" w:line="360" w:lineRule="auto"/>
        <w:ind w:left="1080"/>
        <w:jc w:val="both"/>
        <w:rPr>
          <w:rFonts w:ascii="Arial" w:hAnsi="Arial" w:cs="Arial"/>
          <w:b/>
          <w:sz w:val="24"/>
          <w:szCs w:val="24"/>
          <w:u w:val="single"/>
        </w:rPr>
      </w:pPr>
    </w:p>
    <w:p w14:paraId="1DE33190" w14:textId="77777777" w:rsidR="00114CD9" w:rsidRPr="00BB53C0" w:rsidRDefault="00114CD9" w:rsidP="00D75EA6">
      <w:pPr>
        <w:pStyle w:val="Ttulo1"/>
        <w:jc w:val="center"/>
      </w:pPr>
      <w:bookmarkStart w:id="17" w:name="_Toc510690327"/>
      <w:r w:rsidRPr="00BB53C0">
        <w:lastRenderedPageBreak/>
        <w:t>RECURSOS DE HÁBEAS CORPUS:</w:t>
      </w:r>
      <w:bookmarkEnd w:id="17"/>
    </w:p>
    <w:p w14:paraId="2FF12CD7" w14:textId="77777777" w:rsidR="008E2362" w:rsidRPr="00BB53C0" w:rsidRDefault="00114CD9" w:rsidP="002A12BB">
      <w:pPr>
        <w:autoSpaceDE w:val="0"/>
        <w:autoSpaceDN w:val="0"/>
        <w:adjustRightInd w:val="0"/>
        <w:spacing w:after="0" w:line="360" w:lineRule="auto"/>
        <w:jc w:val="both"/>
        <w:rPr>
          <w:rFonts w:ascii="Arial" w:hAnsi="Arial" w:cs="Arial"/>
          <w:b/>
          <w:sz w:val="24"/>
          <w:szCs w:val="24"/>
          <w:lang w:val="es-ES"/>
        </w:rPr>
      </w:pPr>
      <w:r w:rsidRPr="00BB53C0">
        <w:rPr>
          <w:rFonts w:ascii="Arial" w:hAnsi="Arial" w:cs="Arial"/>
          <w:b/>
          <w:sz w:val="24"/>
          <w:szCs w:val="24"/>
          <w:lang w:val="es-ES"/>
        </w:rPr>
        <w:tab/>
      </w:r>
    </w:p>
    <w:p w14:paraId="5252118A" w14:textId="70986ED1" w:rsidR="00114CD9" w:rsidRPr="00BB53C0" w:rsidRDefault="00114CD9" w:rsidP="000444F3">
      <w:pPr>
        <w:autoSpaceDE w:val="0"/>
        <w:autoSpaceDN w:val="0"/>
        <w:adjustRightInd w:val="0"/>
        <w:spacing w:after="0" w:line="360" w:lineRule="auto"/>
        <w:ind w:firstLine="708"/>
        <w:jc w:val="both"/>
        <w:rPr>
          <w:rFonts w:ascii="Arial" w:hAnsi="Arial" w:cs="Arial"/>
          <w:sz w:val="24"/>
          <w:szCs w:val="24"/>
          <w:lang w:val="es-ES"/>
        </w:rPr>
      </w:pPr>
      <w:r w:rsidRPr="00BB53C0">
        <w:rPr>
          <w:rFonts w:ascii="Arial" w:hAnsi="Arial" w:cs="Arial"/>
          <w:sz w:val="24"/>
          <w:szCs w:val="24"/>
          <w:lang w:val="es-ES"/>
        </w:rPr>
        <w:t>Tal y como se había indicado en el informe del 201</w:t>
      </w:r>
      <w:r w:rsidR="00E53861" w:rsidRPr="00BB53C0">
        <w:rPr>
          <w:rFonts w:ascii="Arial" w:hAnsi="Arial" w:cs="Arial"/>
          <w:sz w:val="24"/>
          <w:szCs w:val="24"/>
          <w:lang w:val="es-ES"/>
        </w:rPr>
        <w:t>9</w:t>
      </w:r>
      <w:r w:rsidRPr="00BB53C0">
        <w:rPr>
          <w:rFonts w:ascii="Arial" w:hAnsi="Arial" w:cs="Arial"/>
          <w:sz w:val="24"/>
          <w:szCs w:val="24"/>
          <w:lang w:val="es-ES"/>
        </w:rPr>
        <w:t xml:space="preserve">, normalmente cuando los usuarios han recurrido ante la Sala Constitucional para presentar Recursos de Hábeas Corpus </w:t>
      </w:r>
      <w:r w:rsidR="00AB0958" w:rsidRPr="00BB53C0">
        <w:rPr>
          <w:rFonts w:ascii="Arial" w:hAnsi="Arial" w:cs="Arial"/>
          <w:sz w:val="24"/>
          <w:szCs w:val="24"/>
          <w:lang w:val="es-ES"/>
        </w:rPr>
        <w:t xml:space="preserve">y Recursos de Amparo </w:t>
      </w:r>
      <w:r w:rsidRPr="00BB53C0">
        <w:rPr>
          <w:rFonts w:ascii="Arial" w:hAnsi="Arial" w:cs="Arial"/>
          <w:sz w:val="24"/>
          <w:szCs w:val="24"/>
          <w:lang w:val="es-ES"/>
        </w:rPr>
        <w:t>contra la Sala de Casación Penal, el motivo predominante ha sido por el retardo en la tramitación y resolución de los recursos de casación y procedimientos de revisión que tiene bajo su conocimiento esta Sala.</w:t>
      </w:r>
    </w:p>
    <w:p w14:paraId="3177C861" w14:textId="77777777" w:rsidR="00B05776" w:rsidRPr="00BB53C0" w:rsidRDefault="00B05776" w:rsidP="000444F3">
      <w:pPr>
        <w:autoSpaceDE w:val="0"/>
        <w:autoSpaceDN w:val="0"/>
        <w:adjustRightInd w:val="0"/>
        <w:spacing w:after="0" w:line="360" w:lineRule="auto"/>
        <w:ind w:firstLine="708"/>
        <w:jc w:val="both"/>
        <w:rPr>
          <w:rFonts w:ascii="Arial" w:hAnsi="Arial" w:cs="Arial"/>
          <w:sz w:val="24"/>
          <w:szCs w:val="24"/>
          <w:lang w:val="es-ES"/>
        </w:rPr>
      </w:pPr>
    </w:p>
    <w:p w14:paraId="5B4F04A2" w14:textId="17A6B4A6" w:rsidR="00142DB6" w:rsidRPr="00BB53C0" w:rsidRDefault="00114CD9" w:rsidP="000444F3">
      <w:pPr>
        <w:autoSpaceDE w:val="0"/>
        <w:autoSpaceDN w:val="0"/>
        <w:adjustRightInd w:val="0"/>
        <w:spacing w:after="0" w:line="360" w:lineRule="auto"/>
        <w:jc w:val="both"/>
        <w:rPr>
          <w:rFonts w:ascii="Arial" w:eastAsia="Times New Roman" w:hAnsi="Arial" w:cs="Arial"/>
          <w:sz w:val="24"/>
          <w:szCs w:val="24"/>
          <w:lang w:eastAsia="es-ES"/>
        </w:rPr>
      </w:pPr>
      <w:r w:rsidRPr="00BB53C0">
        <w:rPr>
          <w:rFonts w:ascii="Arial" w:hAnsi="Arial" w:cs="Arial"/>
          <w:sz w:val="24"/>
          <w:szCs w:val="24"/>
          <w:lang w:val="es-ES"/>
        </w:rPr>
        <w:tab/>
        <w:t xml:space="preserve">Es así y como </w:t>
      </w:r>
      <w:r w:rsidR="008E2362" w:rsidRPr="00BB53C0">
        <w:rPr>
          <w:rFonts w:ascii="Arial" w:hAnsi="Arial" w:cs="Arial"/>
          <w:sz w:val="24"/>
          <w:szCs w:val="24"/>
          <w:lang w:val="es-ES"/>
        </w:rPr>
        <w:t>incidencia</w:t>
      </w:r>
      <w:r w:rsidRPr="00BB53C0">
        <w:rPr>
          <w:rFonts w:ascii="Arial" w:hAnsi="Arial" w:cs="Arial"/>
          <w:sz w:val="24"/>
          <w:szCs w:val="24"/>
          <w:lang w:val="es-ES"/>
        </w:rPr>
        <w:t xml:space="preserve"> de los esfuerzos que</w:t>
      </w:r>
      <w:r w:rsidR="008E2362" w:rsidRPr="00BB53C0">
        <w:rPr>
          <w:rFonts w:ascii="Arial" w:hAnsi="Arial" w:cs="Arial"/>
          <w:sz w:val="24"/>
          <w:szCs w:val="24"/>
          <w:lang w:val="es-ES"/>
        </w:rPr>
        <w:t xml:space="preserve"> se han</w:t>
      </w:r>
      <w:r w:rsidRPr="00BB53C0">
        <w:rPr>
          <w:rFonts w:ascii="Arial" w:hAnsi="Arial" w:cs="Arial"/>
          <w:sz w:val="24"/>
          <w:szCs w:val="24"/>
          <w:lang w:val="es-ES"/>
        </w:rPr>
        <w:t xml:space="preserve"> realizado por mantener y tratar de disminuir los tiempos de resolución, que cada año </w:t>
      </w:r>
      <w:r w:rsidR="005B5C22" w:rsidRPr="00BB53C0">
        <w:rPr>
          <w:rFonts w:ascii="Arial" w:hAnsi="Arial" w:cs="Arial"/>
          <w:sz w:val="24"/>
          <w:szCs w:val="24"/>
          <w:lang w:val="es-ES"/>
        </w:rPr>
        <w:t xml:space="preserve">se mantiene o </w:t>
      </w:r>
      <w:r w:rsidRPr="00BB53C0">
        <w:rPr>
          <w:rFonts w:ascii="Arial" w:hAnsi="Arial" w:cs="Arial"/>
          <w:sz w:val="24"/>
          <w:szCs w:val="24"/>
          <w:lang w:val="es-ES"/>
        </w:rPr>
        <w:t>menos usuarios</w:t>
      </w:r>
      <w:r w:rsidR="008E2362" w:rsidRPr="00BB53C0">
        <w:rPr>
          <w:rFonts w:ascii="Arial" w:hAnsi="Arial" w:cs="Arial"/>
          <w:sz w:val="24"/>
          <w:szCs w:val="24"/>
          <w:lang w:val="es-ES"/>
        </w:rPr>
        <w:t xml:space="preserve"> recurren contra la Sala, demandando una respuesta más expedita del servicio. Muestra de lo anterior, es que si bien en el año 201</w:t>
      </w:r>
      <w:r w:rsidR="0033479A" w:rsidRPr="00BB53C0">
        <w:rPr>
          <w:rFonts w:ascii="Arial" w:hAnsi="Arial" w:cs="Arial"/>
          <w:sz w:val="24"/>
          <w:szCs w:val="24"/>
          <w:lang w:val="es-ES"/>
        </w:rPr>
        <w:t>6</w:t>
      </w:r>
      <w:r w:rsidR="008E2362" w:rsidRPr="00BB53C0">
        <w:rPr>
          <w:rFonts w:ascii="Arial" w:hAnsi="Arial" w:cs="Arial"/>
          <w:sz w:val="24"/>
          <w:szCs w:val="24"/>
          <w:lang w:val="es-ES"/>
        </w:rPr>
        <w:t xml:space="preserve"> se rindieron </w:t>
      </w:r>
      <w:r w:rsidR="0033479A" w:rsidRPr="00BB53C0">
        <w:rPr>
          <w:rFonts w:ascii="Arial" w:hAnsi="Arial" w:cs="Arial"/>
          <w:sz w:val="24"/>
          <w:szCs w:val="24"/>
          <w:lang w:val="es-ES"/>
        </w:rPr>
        <w:t>cinco</w:t>
      </w:r>
      <w:r w:rsidR="008E2362" w:rsidRPr="00BB53C0">
        <w:rPr>
          <w:rFonts w:ascii="Arial" w:hAnsi="Arial" w:cs="Arial"/>
          <w:sz w:val="24"/>
          <w:szCs w:val="24"/>
          <w:lang w:val="es-ES"/>
        </w:rPr>
        <w:t xml:space="preserve"> informes referentes a recursos de hábeas corpus; para el año 201</w:t>
      </w:r>
      <w:r w:rsidR="0033479A" w:rsidRPr="00BB53C0">
        <w:rPr>
          <w:rFonts w:ascii="Arial" w:hAnsi="Arial" w:cs="Arial"/>
          <w:sz w:val="24"/>
          <w:szCs w:val="24"/>
          <w:lang w:val="es-ES"/>
        </w:rPr>
        <w:t>7</w:t>
      </w:r>
      <w:r w:rsidR="008E2362" w:rsidRPr="00BB53C0">
        <w:rPr>
          <w:rFonts w:ascii="Arial" w:hAnsi="Arial" w:cs="Arial"/>
          <w:sz w:val="24"/>
          <w:szCs w:val="24"/>
          <w:lang w:val="es-ES"/>
        </w:rPr>
        <w:t xml:space="preserve"> </w:t>
      </w:r>
      <w:r w:rsidR="0033479A" w:rsidRPr="00BB53C0">
        <w:rPr>
          <w:rFonts w:ascii="Arial" w:hAnsi="Arial" w:cs="Arial"/>
          <w:sz w:val="24"/>
          <w:szCs w:val="24"/>
          <w:lang w:val="es-ES"/>
        </w:rPr>
        <w:t xml:space="preserve">se mantiene una tendencia a la baja, con únicamente cuatro informes solicitados por la Sala Constitucional </w:t>
      </w:r>
      <w:r w:rsidR="008E2362" w:rsidRPr="00BB53C0">
        <w:rPr>
          <w:rFonts w:ascii="Arial" w:hAnsi="Arial" w:cs="Arial"/>
          <w:sz w:val="24"/>
          <w:szCs w:val="24"/>
          <w:lang w:val="es-ES"/>
        </w:rPr>
        <w:t>solamente cinco informes</w:t>
      </w:r>
      <w:r w:rsidR="00315FEB" w:rsidRPr="00BB53C0">
        <w:rPr>
          <w:rFonts w:ascii="Arial" w:hAnsi="Arial" w:cs="Arial"/>
          <w:sz w:val="24"/>
          <w:szCs w:val="24"/>
          <w:lang w:val="es-ES"/>
        </w:rPr>
        <w:t>;</w:t>
      </w:r>
      <w:r w:rsidR="008E2362" w:rsidRPr="00BB53C0">
        <w:rPr>
          <w:rFonts w:ascii="Arial" w:hAnsi="Arial" w:cs="Arial"/>
          <w:sz w:val="24"/>
          <w:szCs w:val="24"/>
          <w:lang w:val="es-ES"/>
        </w:rPr>
        <w:t xml:space="preserve"> para el año 201</w:t>
      </w:r>
      <w:r w:rsidR="0033479A" w:rsidRPr="00BB53C0">
        <w:rPr>
          <w:rFonts w:ascii="Arial" w:hAnsi="Arial" w:cs="Arial"/>
          <w:sz w:val="24"/>
          <w:szCs w:val="24"/>
          <w:lang w:val="es-ES"/>
        </w:rPr>
        <w:t>8</w:t>
      </w:r>
      <w:r w:rsidR="008E2362" w:rsidRPr="00BB53C0">
        <w:rPr>
          <w:rFonts w:ascii="Arial" w:hAnsi="Arial" w:cs="Arial"/>
          <w:sz w:val="24"/>
          <w:szCs w:val="24"/>
          <w:lang w:val="es-ES"/>
        </w:rPr>
        <w:t>, se mantiene una tendencia a la baja, con únicamente cuatro informes</w:t>
      </w:r>
      <w:r w:rsidRPr="00BB53C0">
        <w:rPr>
          <w:rFonts w:ascii="Arial" w:hAnsi="Arial" w:cs="Arial"/>
          <w:sz w:val="24"/>
          <w:szCs w:val="24"/>
          <w:lang w:val="es-ES"/>
        </w:rPr>
        <w:t xml:space="preserve"> solicitados por la Sala Constitucional</w:t>
      </w:r>
      <w:r w:rsidR="00927E06" w:rsidRPr="00BB53C0">
        <w:rPr>
          <w:rFonts w:ascii="Arial" w:hAnsi="Arial" w:cs="Arial"/>
          <w:sz w:val="24"/>
          <w:szCs w:val="24"/>
          <w:lang w:val="es-ES"/>
        </w:rPr>
        <w:t>;</w:t>
      </w:r>
      <w:r w:rsidR="00315FEB" w:rsidRPr="00BB53C0">
        <w:rPr>
          <w:rFonts w:ascii="Arial" w:hAnsi="Arial" w:cs="Arial"/>
          <w:sz w:val="24"/>
          <w:szCs w:val="24"/>
          <w:lang w:val="es-ES"/>
        </w:rPr>
        <w:t xml:space="preserve"> para el año 201</w:t>
      </w:r>
      <w:r w:rsidR="0033479A" w:rsidRPr="00BB53C0">
        <w:rPr>
          <w:rFonts w:ascii="Arial" w:hAnsi="Arial" w:cs="Arial"/>
          <w:sz w:val="24"/>
          <w:szCs w:val="24"/>
          <w:lang w:val="es-ES"/>
        </w:rPr>
        <w:t>9</w:t>
      </w:r>
      <w:r w:rsidR="006817FE" w:rsidRPr="00BB53C0">
        <w:rPr>
          <w:rFonts w:ascii="Arial" w:hAnsi="Arial" w:cs="Arial"/>
          <w:sz w:val="24"/>
          <w:szCs w:val="24"/>
          <w:lang w:val="es-ES"/>
        </w:rPr>
        <w:t xml:space="preserve"> </w:t>
      </w:r>
      <w:r w:rsidR="0033479A" w:rsidRPr="00BB53C0">
        <w:rPr>
          <w:rFonts w:ascii="Arial" w:hAnsi="Arial" w:cs="Arial"/>
          <w:sz w:val="24"/>
          <w:szCs w:val="24"/>
          <w:lang w:val="es-ES"/>
        </w:rPr>
        <w:t>disminuyen los informes sea 6 rendiciones de cuentas en cuanto a hábeas corpus y 2 respecto a recursos de amparo.  Para el año 2019 disminuyen los informes, sea 6 rendiciones de cuentas en cuanto a hábeas corpus y 2 respecto a recursos de amparo; de los cuales cuatro fueron declarados parcialmente con lugar y cuatro declarados sin lugar.</w:t>
      </w:r>
      <w:r w:rsidR="001E097E" w:rsidRPr="00BB53C0">
        <w:rPr>
          <w:rFonts w:ascii="Arial" w:hAnsi="Arial" w:cs="Arial"/>
          <w:sz w:val="24"/>
          <w:szCs w:val="24"/>
          <w:lang w:val="es-ES"/>
        </w:rPr>
        <w:t xml:space="preserve"> En el año 2020 </w:t>
      </w:r>
      <w:r w:rsidR="006817FE" w:rsidRPr="00BB53C0">
        <w:rPr>
          <w:rFonts w:ascii="Arial" w:hAnsi="Arial" w:cs="Arial"/>
          <w:sz w:val="24"/>
          <w:szCs w:val="24"/>
          <w:lang w:val="es-ES"/>
        </w:rPr>
        <w:t>se incrementa la rendición de informes con respecto a estos recursos, sea 1</w:t>
      </w:r>
      <w:r w:rsidR="00692096" w:rsidRPr="00BB53C0">
        <w:rPr>
          <w:rFonts w:ascii="Arial" w:hAnsi="Arial" w:cs="Arial"/>
          <w:sz w:val="24"/>
          <w:szCs w:val="24"/>
          <w:lang w:val="es-ES"/>
        </w:rPr>
        <w:t>4</w:t>
      </w:r>
      <w:r w:rsidR="006817FE" w:rsidRPr="00BB53C0">
        <w:rPr>
          <w:rFonts w:ascii="Arial" w:hAnsi="Arial" w:cs="Arial"/>
          <w:sz w:val="24"/>
          <w:szCs w:val="24"/>
          <w:lang w:val="es-ES"/>
        </w:rPr>
        <w:t xml:space="preserve"> referentes a hábeas corpus y </w:t>
      </w:r>
      <w:r w:rsidR="00692096" w:rsidRPr="00BB53C0">
        <w:rPr>
          <w:rFonts w:ascii="Arial" w:hAnsi="Arial" w:cs="Arial"/>
          <w:sz w:val="24"/>
          <w:szCs w:val="24"/>
          <w:lang w:val="es-ES"/>
        </w:rPr>
        <w:t>1</w:t>
      </w:r>
      <w:r w:rsidR="006817FE" w:rsidRPr="00BB53C0">
        <w:rPr>
          <w:rFonts w:ascii="Arial" w:hAnsi="Arial" w:cs="Arial"/>
          <w:sz w:val="24"/>
          <w:szCs w:val="24"/>
          <w:lang w:val="es-ES"/>
        </w:rPr>
        <w:t xml:space="preserve"> referentes a recurso de amparo</w:t>
      </w:r>
      <w:r w:rsidRPr="00BB53C0">
        <w:rPr>
          <w:rFonts w:ascii="Arial" w:hAnsi="Arial" w:cs="Arial"/>
          <w:sz w:val="24"/>
          <w:szCs w:val="24"/>
          <w:lang w:val="es-ES"/>
        </w:rPr>
        <w:t xml:space="preserve">; </w:t>
      </w:r>
      <w:r w:rsidR="008E2362" w:rsidRPr="00BB53C0">
        <w:rPr>
          <w:rFonts w:ascii="Arial" w:hAnsi="Arial" w:cs="Arial"/>
          <w:sz w:val="24"/>
          <w:szCs w:val="24"/>
          <w:lang w:val="es-ES"/>
        </w:rPr>
        <w:t>siendo que de</w:t>
      </w:r>
      <w:r w:rsidRPr="00BB53C0">
        <w:rPr>
          <w:rFonts w:ascii="Arial" w:hAnsi="Arial" w:cs="Arial"/>
          <w:sz w:val="24"/>
          <w:szCs w:val="24"/>
          <w:lang w:val="es-ES"/>
        </w:rPr>
        <w:t xml:space="preserve"> ellos </w:t>
      </w:r>
      <w:r w:rsidR="00692096" w:rsidRPr="00BB53C0">
        <w:rPr>
          <w:rFonts w:ascii="Arial" w:hAnsi="Arial" w:cs="Arial"/>
          <w:sz w:val="24"/>
          <w:szCs w:val="24"/>
          <w:lang w:val="es-ES"/>
        </w:rPr>
        <w:t>13</w:t>
      </w:r>
      <w:r w:rsidRPr="00BB53C0">
        <w:rPr>
          <w:rFonts w:ascii="Arial" w:hAnsi="Arial" w:cs="Arial"/>
          <w:sz w:val="24"/>
          <w:szCs w:val="24"/>
          <w:lang w:val="es-ES"/>
        </w:rPr>
        <w:t xml:space="preserve"> fueron declarados sin lugar</w:t>
      </w:r>
      <w:r w:rsidR="00AB0958" w:rsidRPr="00BB53C0">
        <w:rPr>
          <w:rFonts w:ascii="Arial" w:hAnsi="Arial" w:cs="Arial"/>
          <w:sz w:val="24"/>
          <w:szCs w:val="24"/>
          <w:lang w:val="es-ES"/>
        </w:rPr>
        <w:t xml:space="preserve">, </w:t>
      </w:r>
      <w:r w:rsidR="00692096" w:rsidRPr="00BB53C0">
        <w:rPr>
          <w:rFonts w:ascii="Arial" w:hAnsi="Arial" w:cs="Arial"/>
          <w:sz w:val="24"/>
          <w:szCs w:val="24"/>
          <w:lang w:val="es-ES"/>
        </w:rPr>
        <w:t>dos</w:t>
      </w:r>
      <w:r w:rsidRPr="00BB53C0">
        <w:rPr>
          <w:rFonts w:ascii="Arial" w:hAnsi="Arial" w:cs="Arial"/>
          <w:sz w:val="24"/>
          <w:szCs w:val="24"/>
          <w:lang w:val="es-ES"/>
        </w:rPr>
        <w:t xml:space="preserve"> parcialmente con lugar, pero no por la actuación de esta Sala de </w:t>
      </w:r>
      <w:r w:rsidR="008E2362" w:rsidRPr="00BB53C0">
        <w:rPr>
          <w:rFonts w:ascii="Arial" w:hAnsi="Arial" w:cs="Arial"/>
          <w:sz w:val="24"/>
          <w:szCs w:val="24"/>
          <w:lang w:val="es-ES"/>
        </w:rPr>
        <w:t>C</w:t>
      </w:r>
      <w:r w:rsidRPr="00BB53C0">
        <w:rPr>
          <w:rFonts w:ascii="Arial" w:hAnsi="Arial" w:cs="Arial"/>
          <w:sz w:val="24"/>
          <w:szCs w:val="24"/>
          <w:lang w:val="es-ES"/>
        </w:rPr>
        <w:t>asación</w:t>
      </w:r>
      <w:r w:rsidR="008E2362" w:rsidRPr="00BB53C0">
        <w:rPr>
          <w:rFonts w:ascii="Arial" w:hAnsi="Arial" w:cs="Arial"/>
          <w:sz w:val="24"/>
          <w:szCs w:val="24"/>
          <w:lang w:val="es-ES"/>
        </w:rPr>
        <w:t xml:space="preserve"> Penal.</w:t>
      </w:r>
      <w:r w:rsidR="00927E06" w:rsidRPr="00BB53C0">
        <w:rPr>
          <w:rFonts w:ascii="Arial" w:hAnsi="Arial" w:cs="Arial"/>
          <w:sz w:val="24"/>
          <w:szCs w:val="24"/>
          <w:lang w:val="es-ES"/>
        </w:rPr>
        <w:t xml:space="preserve"> </w:t>
      </w:r>
    </w:p>
    <w:p w14:paraId="01719B10" w14:textId="77777777" w:rsidR="00142DB6" w:rsidRPr="00BB53C0" w:rsidRDefault="00142DB6" w:rsidP="000444F3">
      <w:pPr>
        <w:autoSpaceDE w:val="0"/>
        <w:autoSpaceDN w:val="0"/>
        <w:adjustRightInd w:val="0"/>
        <w:spacing w:after="0" w:line="360" w:lineRule="auto"/>
        <w:jc w:val="both"/>
        <w:rPr>
          <w:rFonts w:ascii="Arial" w:eastAsia="Times New Roman" w:hAnsi="Arial" w:cs="Arial"/>
          <w:sz w:val="24"/>
          <w:szCs w:val="24"/>
          <w:lang w:eastAsia="es-ES"/>
        </w:rPr>
      </w:pPr>
    </w:p>
    <w:tbl>
      <w:tblPr>
        <w:tblW w:w="9204" w:type="dxa"/>
        <w:tblCellSpacing w:w="0" w:type="dxa"/>
        <w:tblCellMar>
          <w:top w:w="108" w:type="dxa"/>
          <w:bottom w:w="108" w:type="dxa"/>
        </w:tblCellMar>
        <w:tblLook w:val="04A0" w:firstRow="1" w:lastRow="0" w:firstColumn="1" w:lastColumn="0" w:noHBand="0" w:noVBand="1"/>
      </w:tblPr>
      <w:tblGrid>
        <w:gridCol w:w="557"/>
        <w:gridCol w:w="2835"/>
        <w:gridCol w:w="5812"/>
      </w:tblGrid>
      <w:tr w:rsidR="004706C9" w:rsidRPr="00BB53C0" w14:paraId="7A05646F" w14:textId="77777777" w:rsidTr="009E41A5">
        <w:trPr>
          <w:trHeight w:val="836"/>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93A593"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43C3EF"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20-000542-0007-CO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C05EE6" w14:textId="7EF954B0"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 xml:space="preserve">Se </w:t>
            </w:r>
            <w:r w:rsidR="00BB53C0" w:rsidRPr="00BB53C0">
              <w:rPr>
                <w:rFonts w:ascii="Arial" w:hAnsi="Arial" w:cs="Arial"/>
                <w:b/>
                <w:sz w:val="24"/>
                <w:szCs w:val="24"/>
              </w:rPr>
              <w:t>declare</w:t>
            </w:r>
            <w:r w:rsidRPr="00BB53C0">
              <w:rPr>
                <w:rFonts w:ascii="Arial" w:hAnsi="Arial" w:cs="Arial"/>
                <w:b/>
                <w:sz w:val="24"/>
                <w:szCs w:val="24"/>
              </w:rPr>
              <w:t xml:space="preserve"> con lugar contra el Tribunal Penal del Tercer Circuito Judicial de San José, Sede Suroeste, Pavas, únicamente.</w:t>
            </w:r>
          </w:p>
        </w:tc>
      </w:tr>
      <w:tr w:rsidR="004706C9" w:rsidRPr="00BB53C0" w14:paraId="6A45FCB0" w14:textId="77777777" w:rsidTr="009E41A5">
        <w:trPr>
          <w:trHeight w:val="324"/>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EAF015"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0935EA"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20-000236-0007-CO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66152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6C9AB83F" w14:textId="77777777" w:rsidTr="009E41A5">
        <w:trPr>
          <w:trHeight w:val="336"/>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FBDA62"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3</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F5B166"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20-004852-0007-CO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A3810E"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6E83655D" w14:textId="77777777" w:rsidTr="009E41A5">
        <w:trPr>
          <w:trHeight w:val="300"/>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9B31A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lastRenderedPageBreak/>
              <w:t>4</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CC11A9"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20-005735-0007-CO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CE32E5"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3ABA58AC" w14:textId="77777777" w:rsidTr="009E41A5">
        <w:trPr>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D48963"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5</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A76453"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20-006277-0007-CO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C070F5"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0545AE63" w14:textId="77777777" w:rsidTr="009E41A5">
        <w:trPr>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E88705"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6</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9077B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20-006224-0007-CO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4CE04D"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7A614020"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3FB938"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7</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B18E7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20-008839-0007-CO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B2F4AB"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117B1273"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E5FD10"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8</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2A4F51"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20-013583-0007-CO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319DAF"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2EF5433D"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7F9161"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9</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F91AA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20-015357-0007-CO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7FEEB5"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61A88758"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1387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10</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7F83F3"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20-015314-0007-CO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F5B187"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6CDF1AE7"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5D2C30"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11</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74F286"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20-016649-0007-CO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88C449"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1FDFED4A"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180FD2"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12</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23C787"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20-016433-0007-CO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AA5086"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5C3BFD48"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9EE3BB"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13</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937173"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20-018192-0007-CO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740DA4" w14:textId="77777777"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0E6C6898"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B277EE" w14:textId="33A476AD"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14</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AF96B0" w14:textId="04980782"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20-020337-0007-CO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34C4BE" w14:textId="3B6A4374"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r w:rsidR="004706C9" w:rsidRPr="00BB53C0" w14:paraId="6BD962F8" w14:textId="77777777" w:rsidTr="009E41A5">
        <w:trPr>
          <w:trHeight w:val="372"/>
          <w:tblCellSpacing w:w="0" w:type="dxa"/>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8052EC" w14:textId="391C79EA"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15</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F9EF4A" w14:textId="39ADEAEB"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20-021914-0007-CO</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5DD5A1" w14:textId="76AA8C62" w:rsidR="004706C9" w:rsidRPr="00BB53C0" w:rsidRDefault="004706C9" w:rsidP="009E41A5">
            <w:pPr>
              <w:spacing w:line="240" w:lineRule="auto"/>
              <w:jc w:val="both"/>
              <w:rPr>
                <w:rFonts w:ascii="Arial" w:hAnsi="Arial" w:cs="Arial"/>
                <w:b/>
                <w:sz w:val="24"/>
                <w:szCs w:val="24"/>
              </w:rPr>
            </w:pPr>
            <w:r w:rsidRPr="00BB53C0">
              <w:rPr>
                <w:rFonts w:ascii="Arial" w:hAnsi="Arial" w:cs="Arial"/>
                <w:b/>
                <w:sz w:val="24"/>
                <w:szCs w:val="24"/>
              </w:rPr>
              <w:t>Se declaró sin lugar.</w:t>
            </w:r>
          </w:p>
        </w:tc>
      </w:tr>
    </w:tbl>
    <w:p w14:paraId="7E5670FA" w14:textId="77777777" w:rsidR="00142DB6" w:rsidRPr="00BB53C0" w:rsidRDefault="00142DB6" w:rsidP="002A12BB">
      <w:pPr>
        <w:autoSpaceDE w:val="0"/>
        <w:autoSpaceDN w:val="0"/>
        <w:adjustRightInd w:val="0"/>
        <w:spacing w:after="0" w:line="360" w:lineRule="auto"/>
        <w:jc w:val="both"/>
        <w:rPr>
          <w:rFonts w:ascii="Arial" w:eastAsia="Times New Roman" w:hAnsi="Arial" w:cs="Arial"/>
          <w:sz w:val="24"/>
          <w:szCs w:val="24"/>
          <w:lang w:eastAsia="es-ES"/>
        </w:rPr>
      </w:pPr>
    </w:p>
    <w:p w14:paraId="5539218E" w14:textId="77777777" w:rsidR="00142DB6" w:rsidRPr="00BB53C0" w:rsidRDefault="00142DB6" w:rsidP="002A12BB">
      <w:pPr>
        <w:autoSpaceDE w:val="0"/>
        <w:autoSpaceDN w:val="0"/>
        <w:adjustRightInd w:val="0"/>
        <w:spacing w:after="0" w:line="360" w:lineRule="auto"/>
        <w:jc w:val="both"/>
        <w:rPr>
          <w:rFonts w:ascii="Arial" w:eastAsia="Times New Roman" w:hAnsi="Arial" w:cs="Arial"/>
          <w:sz w:val="24"/>
          <w:szCs w:val="24"/>
          <w:lang w:eastAsia="es-ES"/>
        </w:rPr>
      </w:pPr>
    </w:p>
    <w:p w14:paraId="0BC917D6" w14:textId="77777777" w:rsidR="005A717D" w:rsidRPr="00BB53C0" w:rsidRDefault="005A717D" w:rsidP="002A12BB">
      <w:pPr>
        <w:autoSpaceDE w:val="0"/>
        <w:autoSpaceDN w:val="0"/>
        <w:adjustRightInd w:val="0"/>
        <w:spacing w:after="0" w:line="360" w:lineRule="auto"/>
        <w:jc w:val="both"/>
        <w:rPr>
          <w:rFonts w:ascii="Arial" w:hAnsi="Arial" w:cs="Arial"/>
          <w:b/>
          <w:sz w:val="24"/>
          <w:szCs w:val="24"/>
          <w:lang w:val="es-ES"/>
        </w:rPr>
      </w:pPr>
    </w:p>
    <w:p w14:paraId="3CA418A7" w14:textId="77777777" w:rsidR="005A717D" w:rsidRPr="00BB53C0" w:rsidRDefault="005A717D" w:rsidP="002A12BB">
      <w:pPr>
        <w:autoSpaceDE w:val="0"/>
        <w:autoSpaceDN w:val="0"/>
        <w:adjustRightInd w:val="0"/>
        <w:spacing w:after="0" w:line="360" w:lineRule="auto"/>
        <w:jc w:val="both"/>
        <w:rPr>
          <w:rFonts w:ascii="Arial" w:hAnsi="Arial" w:cs="Arial"/>
          <w:b/>
          <w:sz w:val="24"/>
          <w:szCs w:val="24"/>
          <w:lang w:val="es-ES"/>
        </w:rPr>
      </w:pPr>
    </w:p>
    <w:p w14:paraId="7E528313" w14:textId="77777777" w:rsidR="00E34EA4" w:rsidRPr="00BB53C0" w:rsidRDefault="00E34EA4" w:rsidP="002A12BB">
      <w:pPr>
        <w:autoSpaceDE w:val="0"/>
        <w:autoSpaceDN w:val="0"/>
        <w:adjustRightInd w:val="0"/>
        <w:spacing w:after="0" w:line="360" w:lineRule="auto"/>
        <w:jc w:val="both"/>
        <w:rPr>
          <w:rFonts w:ascii="Arial" w:hAnsi="Arial" w:cs="Arial"/>
          <w:b/>
          <w:sz w:val="24"/>
          <w:szCs w:val="24"/>
          <w:lang w:val="es-ES"/>
        </w:rPr>
      </w:pPr>
    </w:p>
    <w:p w14:paraId="3E7B69E3" w14:textId="77777777" w:rsidR="00E34EA4" w:rsidRPr="00BB53C0" w:rsidRDefault="00E34EA4" w:rsidP="002A12BB">
      <w:pPr>
        <w:autoSpaceDE w:val="0"/>
        <w:autoSpaceDN w:val="0"/>
        <w:adjustRightInd w:val="0"/>
        <w:spacing w:after="0" w:line="360" w:lineRule="auto"/>
        <w:jc w:val="both"/>
        <w:rPr>
          <w:rFonts w:ascii="Arial" w:hAnsi="Arial" w:cs="Arial"/>
          <w:b/>
          <w:sz w:val="24"/>
          <w:szCs w:val="24"/>
          <w:lang w:val="es-ES"/>
        </w:rPr>
      </w:pPr>
    </w:p>
    <w:p w14:paraId="021E7041" w14:textId="77777777" w:rsidR="006606AE" w:rsidRDefault="006606AE">
      <w:pPr>
        <w:spacing w:after="0" w:line="240" w:lineRule="auto"/>
        <w:rPr>
          <w:rFonts w:ascii="Arial" w:eastAsiaTheme="minorHAnsi" w:hAnsi="Arial" w:cs="Arial"/>
          <w:b/>
          <w:bCs/>
          <w:sz w:val="32"/>
          <w:szCs w:val="32"/>
          <w:lang w:val="es-ES"/>
        </w:rPr>
      </w:pPr>
      <w:r>
        <w:rPr>
          <w:rFonts w:ascii="Arial" w:eastAsiaTheme="minorHAnsi" w:hAnsi="Arial" w:cs="Arial"/>
          <w:b/>
          <w:bCs/>
          <w:sz w:val="32"/>
          <w:szCs w:val="32"/>
          <w:lang w:val="es-ES"/>
        </w:rPr>
        <w:br w:type="page"/>
      </w:r>
    </w:p>
    <w:p w14:paraId="23817AE1" w14:textId="27D3C44C" w:rsidR="003513FD" w:rsidRPr="00606D7A" w:rsidRDefault="00606D7A" w:rsidP="00606D7A">
      <w:pPr>
        <w:spacing w:after="160" w:line="360" w:lineRule="auto"/>
        <w:jc w:val="center"/>
        <w:rPr>
          <w:rFonts w:ascii="Arial" w:eastAsiaTheme="minorHAnsi" w:hAnsi="Arial" w:cs="Arial"/>
          <w:b/>
          <w:bCs/>
          <w:sz w:val="32"/>
          <w:szCs w:val="32"/>
          <w:lang w:val="es-ES"/>
        </w:rPr>
      </w:pPr>
      <w:r>
        <w:rPr>
          <w:rFonts w:ascii="Arial" w:eastAsiaTheme="minorHAnsi" w:hAnsi="Arial" w:cs="Arial"/>
          <w:b/>
          <w:bCs/>
          <w:sz w:val="32"/>
          <w:szCs w:val="32"/>
          <w:lang w:val="es-ES"/>
        </w:rPr>
        <w:lastRenderedPageBreak/>
        <w:t>6</w:t>
      </w:r>
      <w:r w:rsidR="008247EF">
        <w:rPr>
          <w:rFonts w:ascii="Arial" w:eastAsiaTheme="minorHAnsi" w:hAnsi="Arial" w:cs="Arial"/>
          <w:b/>
          <w:bCs/>
          <w:sz w:val="32"/>
          <w:szCs w:val="32"/>
          <w:lang w:val="es-ES"/>
        </w:rPr>
        <w:t xml:space="preserve">- </w:t>
      </w:r>
      <w:r w:rsidR="008247EF" w:rsidRPr="00606D7A">
        <w:rPr>
          <w:rFonts w:ascii="Arial" w:eastAsiaTheme="minorHAnsi" w:hAnsi="Arial" w:cs="Arial"/>
          <w:b/>
          <w:bCs/>
          <w:sz w:val="32"/>
          <w:szCs w:val="32"/>
          <w:lang w:val="es-ES"/>
        </w:rPr>
        <w:t>Comisión</w:t>
      </w:r>
      <w:r w:rsidR="003513FD" w:rsidRPr="00606D7A">
        <w:rPr>
          <w:rFonts w:ascii="Arial" w:eastAsiaTheme="minorHAnsi" w:hAnsi="Arial" w:cs="Arial"/>
          <w:b/>
          <w:bCs/>
          <w:sz w:val="32"/>
          <w:szCs w:val="32"/>
          <w:lang w:val="es-ES"/>
        </w:rPr>
        <w:t xml:space="preserve"> de Ciberseguridad y Ciberdelincuencia</w:t>
      </w:r>
    </w:p>
    <w:p w14:paraId="3953BD84" w14:textId="0BE93688" w:rsidR="003513FD" w:rsidRPr="00BB53C0" w:rsidRDefault="003513FD" w:rsidP="00606D7A">
      <w:pPr>
        <w:spacing w:line="360" w:lineRule="auto"/>
        <w:contextualSpacing/>
        <w:jc w:val="both"/>
        <w:rPr>
          <w:rFonts w:ascii="Arial" w:eastAsiaTheme="minorHAnsi" w:hAnsi="Arial" w:cs="Arial"/>
          <w:b/>
          <w:bCs/>
          <w:sz w:val="24"/>
          <w:szCs w:val="24"/>
          <w:lang w:val="es-ES"/>
        </w:rPr>
      </w:pPr>
      <w:r w:rsidRPr="00BB53C0">
        <w:rPr>
          <w:rFonts w:ascii="Arial" w:hAnsi="Arial" w:cs="Arial"/>
          <w:sz w:val="24"/>
          <w:szCs w:val="24"/>
          <w:lang w:val="es-ES"/>
        </w:rPr>
        <w:t>Con respecto a dichas Comisiones, tenemos</w:t>
      </w:r>
    </w:p>
    <w:p w14:paraId="5C9A3822" w14:textId="1655E5B0" w:rsidR="003513FD" w:rsidRPr="00606D7A" w:rsidRDefault="003513FD" w:rsidP="00606D7A">
      <w:pPr>
        <w:pStyle w:val="Ttulo2"/>
        <w:numPr>
          <w:ilvl w:val="0"/>
          <w:numId w:val="0"/>
        </w:numPr>
        <w:spacing w:after="160" w:line="360" w:lineRule="auto"/>
        <w:contextualSpacing/>
        <w:rPr>
          <w:rFonts w:eastAsiaTheme="minorHAnsi" w:cs="Arial"/>
          <w:sz w:val="24"/>
          <w:szCs w:val="24"/>
          <w:u w:val="single"/>
          <w:lang w:val="es-ES"/>
        </w:rPr>
      </w:pPr>
      <w:r w:rsidRPr="00606D7A">
        <w:rPr>
          <w:rFonts w:eastAsiaTheme="minorHAnsi" w:cs="Arial"/>
          <w:sz w:val="24"/>
          <w:szCs w:val="24"/>
          <w:u w:val="single"/>
          <w:lang w:val="es-ES"/>
        </w:rPr>
        <w:t xml:space="preserve">Ciberseguridad </w:t>
      </w:r>
    </w:p>
    <w:p w14:paraId="7629267C" w14:textId="05B4F8E5" w:rsidR="003513FD" w:rsidRPr="00BB53C0" w:rsidRDefault="003513FD" w:rsidP="00606D7A">
      <w:pPr>
        <w:pStyle w:val="Ttulo2"/>
        <w:numPr>
          <w:ilvl w:val="0"/>
          <w:numId w:val="0"/>
        </w:numPr>
        <w:jc w:val="center"/>
        <w:rPr>
          <w:rFonts w:eastAsiaTheme="minorHAnsi" w:cs="Arial"/>
          <w:sz w:val="24"/>
          <w:szCs w:val="24"/>
          <w:lang w:val="es-ES"/>
        </w:rPr>
      </w:pPr>
      <w:r w:rsidRPr="00BB53C0">
        <w:rPr>
          <w:rFonts w:eastAsiaTheme="minorHAnsi" w:cs="Arial"/>
          <w:sz w:val="24"/>
          <w:szCs w:val="24"/>
          <w:lang w:val="es-ES"/>
        </w:rPr>
        <w:t>Convocatorias a reunión y participación en reuniones</w:t>
      </w:r>
    </w:p>
    <w:p w14:paraId="5BF41367" w14:textId="77777777" w:rsidR="00606D7A" w:rsidRDefault="00606D7A" w:rsidP="003513FD">
      <w:pPr>
        <w:spacing w:after="0" w:line="360" w:lineRule="auto"/>
        <w:ind w:firstLine="708"/>
        <w:jc w:val="both"/>
        <w:rPr>
          <w:rFonts w:ascii="Arial" w:eastAsia="Times New Roman" w:hAnsi="Arial" w:cs="Arial"/>
          <w:sz w:val="24"/>
          <w:szCs w:val="24"/>
          <w:lang w:val="es-ES"/>
        </w:rPr>
      </w:pPr>
    </w:p>
    <w:p w14:paraId="23B64714" w14:textId="518AFC0B"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rPr>
        <w:t xml:space="preserve">Durante el año 2020 se programaron </w:t>
      </w:r>
      <w:r w:rsidRPr="00BB53C0">
        <w:rPr>
          <w:rFonts w:ascii="Arial" w:eastAsia="Times New Roman" w:hAnsi="Arial" w:cs="Arial"/>
          <w:sz w:val="24"/>
          <w:szCs w:val="24"/>
          <w:lang w:val="es-ES" w:eastAsia="es-ES"/>
        </w:rPr>
        <w:t xml:space="preserve">reuniones en su mayor parte virtuales (mediante la plataforma TEAMS) debido a la pandemia por la COVID-19.  Cabe resaltar que cada una de las convocatorias fue comunicada con la debida antelación a los participantes. </w:t>
      </w:r>
    </w:p>
    <w:p w14:paraId="22D190A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5CA6131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rPr>
        <w:t>Reunión N° 1</w:t>
      </w:r>
      <w:r w:rsidRPr="00BB53C0">
        <w:rPr>
          <w:rFonts w:ascii="Arial" w:eastAsia="Times New Roman" w:hAnsi="Arial" w:cs="Arial"/>
          <w:sz w:val="24"/>
          <w:szCs w:val="24"/>
          <w:lang w:val="es-ES"/>
        </w:rPr>
        <w:t>: En la segunda audiencia del día 1 de junio de 2020.</w:t>
      </w:r>
    </w:p>
    <w:p w14:paraId="6A37C980"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793A136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440769CD"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Magistradas y Magistrados de la Corte Suprema de Justicia.</w:t>
      </w:r>
    </w:p>
    <w:p w14:paraId="6B72C266"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Martín Hernández Serrano – Funcionario de Tecnología de la Información.</w:t>
      </w:r>
    </w:p>
    <w:p w14:paraId="2C98B69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Gezer Ramiro Molina Colomer – Funcionario de Tecnología de la Información. </w:t>
      </w:r>
    </w:p>
    <w:p w14:paraId="79A1C2A7"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extraordinaria sostenida en Corte Plena. Como coordinadora de la Comisión, realicé una breve exposición -junto a compañeros de Tecnología de la Información- a las señoras Magistradas y a los señores Magistrados </w:t>
      </w:r>
      <w:r w:rsidRPr="00BB53C0">
        <w:rPr>
          <w:rFonts w:ascii="Arial" w:eastAsia="Times New Roman" w:hAnsi="Arial" w:cs="Arial"/>
          <w:sz w:val="24"/>
          <w:szCs w:val="24"/>
          <w:lang w:val="es-ES" w:eastAsia="es-ES"/>
        </w:rPr>
        <w:t xml:space="preserve">de Corte Plena </w:t>
      </w:r>
      <w:r w:rsidRPr="00BB53C0">
        <w:rPr>
          <w:rFonts w:ascii="Arial" w:eastAsia="Times New Roman" w:hAnsi="Arial" w:cs="Arial"/>
          <w:sz w:val="24"/>
          <w:szCs w:val="24"/>
          <w:lang w:val="es-ES"/>
        </w:rPr>
        <w:t xml:space="preserve">sobre la Hoja de Ruta seguida dentro de la Comisión. </w:t>
      </w:r>
    </w:p>
    <w:p w14:paraId="4DB56DEA"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44467D8E"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eastAsia="es-ES"/>
        </w:rPr>
        <w:tab/>
      </w:r>
      <w:r w:rsidRPr="00BB53C0">
        <w:rPr>
          <w:rFonts w:ascii="Arial" w:eastAsia="Times New Roman" w:hAnsi="Arial" w:cs="Arial"/>
          <w:b/>
          <w:bCs/>
          <w:sz w:val="24"/>
          <w:szCs w:val="24"/>
          <w:lang w:val="es-ES"/>
        </w:rPr>
        <w:t>Reunión N° 2</w:t>
      </w:r>
      <w:r w:rsidRPr="00BB53C0">
        <w:rPr>
          <w:rFonts w:ascii="Arial" w:eastAsia="Times New Roman" w:hAnsi="Arial" w:cs="Arial"/>
          <w:sz w:val="24"/>
          <w:szCs w:val="24"/>
          <w:lang w:val="es-ES"/>
        </w:rPr>
        <w:t>: En la primera audiencia del día 2 de junio de 2020.</w:t>
      </w:r>
    </w:p>
    <w:p w14:paraId="5F4B785E"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6D55886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056005C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Mónica Hernández Leiva –Letrada de la Sala de Casación Penal.</w:t>
      </w:r>
    </w:p>
    <w:p w14:paraId="4FCB96DD"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Frank Harbottle Quirós –Letrado de la Sala de Casación Penal.</w:t>
      </w:r>
    </w:p>
    <w:p w14:paraId="50676CC2"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Martín Hernández Serrano –Funcionario de Tecnología de la Información.</w:t>
      </w:r>
    </w:p>
    <w:p w14:paraId="2AC42B77"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Gezer Ramiro Molina Colomer –Funcionario de Tecnología de la Información. </w:t>
      </w:r>
    </w:p>
    <w:p w14:paraId="42C437AB"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lastRenderedPageBreak/>
        <w:t xml:space="preserve">Reunión con funcionarios del Departamento de Tecnología de la Información para analizar detalles de la </w:t>
      </w:r>
      <w:r w:rsidRPr="00BB53C0">
        <w:rPr>
          <w:rFonts w:ascii="Arial" w:eastAsia="Times New Roman" w:hAnsi="Arial" w:cs="Arial"/>
          <w:i/>
          <w:iCs/>
          <w:sz w:val="24"/>
          <w:szCs w:val="24"/>
          <w:lang w:val="es-ES"/>
        </w:rPr>
        <w:t>“Ficha técnica para las iniciativas de Ciberseguridad en el Poder Judicial”</w:t>
      </w:r>
      <w:r w:rsidRPr="00BB53C0">
        <w:rPr>
          <w:rFonts w:ascii="Arial" w:eastAsia="Times New Roman" w:hAnsi="Arial" w:cs="Arial"/>
          <w:sz w:val="24"/>
          <w:szCs w:val="24"/>
          <w:lang w:val="es-ES"/>
        </w:rPr>
        <w:t xml:space="preserve">. </w:t>
      </w:r>
    </w:p>
    <w:p w14:paraId="7C9860E0"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7CC975B2"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3</w:t>
      </w:r>
      <w:r w:rsidRPr="00BB53C0">
        <w:rPr>
          <w:rFonts w:ascii="Arial" w:eastAsia="Times New Roman" w:hAnsi="Arial" w:cs="Arial"/>
          <w:sz w:val="24"/>
          <w:szCs w:val="24"/>
          <w:lang w:val="es-ES"/>
        </w:rPr>
        <w:t>: En la segunda audiencia del día 30 de junio de 2020.</w:t>
      </w:r>
    </w:p>
    <w:p w14:paraId="57B52579"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1F8661B6" w14:textId="77777777" w:rsidR="00CE7032"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r w:rsidRPr="00BB53C0">
        <w:rPr>
          <w:rFonts w:ascii="Arial" w:eastAsia="Times New Roman" w:hAnsi="Arial" w:cs="Arial"/>
          <w:sz w:val="24"/>
          <w:szCs w:val="24"/>
          <w:lang w:val="es-ES"/>
        </w:rPr>
        <w:tab/>
      </w:r>
    </w:p>
    <w:p w14:paraId="5B6B7DE1" w14:textId="0DDAD768"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Mónica Hernández Leiva –Letrada de la Sala de Casación Penal.</w:t>
      </w:r>
    </w:p>
    <w:p w14:paraId="45C9024B"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Frank Harbottle Quirós –Letrado de la Sala de Casación Penal.</w:t>
      </w:r>
    </w:p>
    <w:p w14:paraId="4B69E41E"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Martín Hernández Serrano –Funcionario de Tecnología de la Información.</w:t>
      </w:r>
    </w:p>
    <w:p w14:paraId="386129D1"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Gezer Ramiro Molina Colomer –Funcionario de Tecnología de la Información. </w:t>
      </w:r>
    </w:p>
    <w:p w14:paraId="028E0561"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para discutir últimos aspectos de la </w:t>
      </w:r>
      <w:r w:rsidRPr="00BB53C0">
        <w:rPr>
          <w:rFonts w:ascii="Arial" w:eastAsia="Times New Roman" w:hAnsi="Arial" w:cs="Arial"/>
          <w:i/>
          <w:iCs/>
          <w:sz w:val="24"/>
          <w:szCs w:val="24"/>
          <w:lang w:val="es-ES"/>
        </w:rPr>
        <w:t>“Ficha técnica para las iniciativas de Ciberseguridad en el Poder Judicial”</w:t>
      </w:r>
      <w:r w:rsidRPr="00BB53C0">
        <w:rPr>
          <w:rFonts w:ascii="Arial" w:eastAsia="Times New Roman" w:hAnsi="Arial" w:cs="Arial"/>
          <w:sz w:val="24"/>
          <w:szCs w:val="24"/>
          <w:lang w:val="es-ES"/>
        </w:rPr>
        <w:t xml:space="preserve">. </w:t>
      </w:r>
    </w:p>
    <w:p w14:paraId="1D71148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162D8B64"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4</w:t>
      </w:r>
      <w:r w:rsidRPr="00BB53C0">
        <w:rPr>
          <w:rFonts w:ascii="Arial" w:eastAsia="Times New Roman" w:hAnsi="Arial" w:cs="Arial"/>
          <w:sz w:val="24"/>
          <w:szCs w:val="24"/>
          <w:lang w:val="es-ES"/>
        </w:rPr>
        <w:t>: En la primera audiencia del día 16 de setiembre de 2020.</w:t>
      </w:r>
    </w:p>
    <w:p w14:paraId="6C49279C"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4D8172EC"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7A22AD42"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Walter Espinoza Espinoza –Director del Organismo de Investigación Judicial. </w:t>
      </w:r>
    </w:p>
    <w:p w14:paraId="1F5DC1E7"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Erick Lewis Hernández –Jefe de la Sección Especializada contra el Cibercrimen del Organismo de Investigación Judicial</w:t>
      </w:r>
    </w:p>
    <w:p w14:paraId="6AE47762"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Martín Hernández Serrano –Funcionario de Tecnología de la Información.</w:t>
      </w:r>
    </w:p>
    <w:p w14:paraId="59C4DAD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Gezer Ramiro Molina Colomer –Funcionario de Tecnología de la Información. </w:t>
      </w:r>
    </w:p>
    <w:p w14:paraId="700C6E34"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Ausentes con justificación: </w:t>
      </w:r>
    </w:p>
    <w:p w14:paraId="27ECA3A6"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Juan Carlos Cubillo Miranda –Fiscal Adjunto 3. Fiscalía General. </w:t>
      </w:r>
    </w:p>
    <w:p w14:paraId="3C4EDA5E"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Kattia Morales Navarro –Directora de Tecnología de la Información. </w:t>
      </w:r>
      <w:r w:rsidRPr="00BB53C0">
        <w:rPr>
          <w:rFonts w:ascii="Arial" w:eastAsia="Times New Roman" w:hAnsi="Arial" w:cs="Arial"/>
          <w:sz w:val="24"/>
          <w:szCs w:val="24"/>
          <w:lang w:val="es-ES"/>
        </w:rPr>
        <w:tab/>
      </w:r>
    </w:p>
    <w:p w14:paraId="381C116E" w14:textId="77777777" w:rsidR="003513FD" w:rsidRPr="00BB53C0" w:rsidRDefault="003513FD" w:rsidP="003513FD">
      <w:pPr>
        <w:spacing w:after="0" w:line="360" w:lineRule="auto"/>
        <w:ind w:left="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Invitados: </w:t>
      </w:r>
    </w:p>
    <w:p w14:paraId="27D5752A"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Sección Comunicación Organizacional.</w:t>
      </w:r>
    </w:p>
    <w:p w14:paraId="42FC9BA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Ana Lucía Vásquez Rivera –Jefa Sección Comunicación Organizacional. </w:t>
      </w:r>
    </w:p>
    <w:p w14:paraId="6FED50BA"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Stephannie Phillips Asch –Sección Comunicación Organizacional.</w:t>
      </w:r>
    </w:p>
    <w:p w14:paraId="4041EE69" w14:textId="77777777" w:rsidR="00CE7032" w:rsidRPr="00BB53C0" w:rsidRDefault="00CE7032" w:rsidP="003513FD">
      <w:pPr>
        <w:spacing w:after="0" w:line="360" w:lineRule="auto"/>
        <w:ind w:firstLine="708"/>
        <w:jc w:val="both"/>
        <w:rPr>
          <w:rFonts w:ascii="Arial" w:eastAsia="Times New Roman" w:hAnsi="Arial" w:cs="Arial"/>
          <w:sz w:val="24"/>
          <w:szCs w:val="24"/>
          <w:lang w:val="es-ES"/>
        </w:rPr>
      </w:pPr>
    </w:p>
    <w:p w14:paraId="4F0B760E" w14:textId="1C6DBC76" w:rsidR="003513FD" w:rsidRPr="00BB53C0" w:rsidRDefault="003513FD" w:rsidP="00CE7032">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lastRenderedPageBreak/>
        <w:t>Sección de Prensa.</w:t>
      </w:r>
      <w:r w:rsidR="00CE7032" w:rsidRPr="00BB53C0">
        <w:rPr>
          <w:rFonts w:ascii="Arial" w:eastAsia="Times New Roman" w:hAnsi="Arial" w:cs="Arial"/>
          <w:sz w:val="24"/>
          <w:szCs w:val="24"/>
          <w:lang w:val="es-ES"/>
        </w:rPr>
        <w:t xml:space="preserve"> </w:t>
      </w:r>
      <w:r w:rsidRPr="00BB53C0">
        <w:rPr>
          <w:rFonts w:ascii="Arial" w:eastAsia="Times New Roman" w:hAnsi="Arial" w:cs="Arial"/>
          <w:sz w:val="24"/>
          <w:szCs w:val="24"/>
          <w:lang w:val="es-ES"/>
        </w:rPr>
        <w:t xml:space="preserve">Erick Fernández Masís –Periodista Departamento de Prensa y Comunicación Organizacional. </w:t>
      </w:r>
    </w:p>
    <w:p w14:paraId="05BCC7A3"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con los integrantes de la Comisión para comunicar cada uno de los avances. Participaron de forma muy puntual como invitados varios funcionarios de los Departamentos de Comunicación Organizacional y Prensa del Poder Judicial con la intención de coordinar detalles de la Estrategia de Comunicación para iniciar una campaña de divulgación de la Política y los principales lineamientos en Seguridad de la Información. </w:t>
      </w:r>
    </w:p>
    <w:p w14:paraId="364375CF"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550B4583"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5</w:t>
      </w:r>
      <w:r w:rsidRPr="00BB53C0">
        <w:rPr>
          <w:rFonts w:ascii="Arial" w:eastAsia="Times New Roman" w:hAnsi="Arial" w:cs="Arial"/>
          <w:sz w:val="24"/>
          <w:szCs w:val="24"/>
          <w:lang w:val="es-ES"/>
        </w:rPr>
        <w:t>: En la primera audiencia del día 8 de octubre de 2020.</w:t>
      </w:r>
    </w:p>
    <w:p w14:paraId="2C769F16"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5DC1E96E"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73250403" w14:textId="2906DF10"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Michael Jiménez Ureña –</w:t>
      </w:r>
      <w:r w:rsidR="00D41CC3">
        <w:rPr>
          <w:rFonts w:ascii="Arial" w:eastAsia="Times New Roman" w:hAnsi="Arial" w:cs="Arial"/>
          <w:sz w:val="24"/>
          <w:szCs w:val="24"/>
          <w:lang w:val="es-ES"/>
        </w:rPr>
        <w:t xml:space="preserve"> </w:t>
      </w:r>
      <w:r w:rsidRPr="00BB53C0">
        <w:rPr>
          <w:rFonts w:ascii="Arial" w:eastAsia="Times New Roman" w:hAnsi="Arial" w:cs="Arial"/>
          <w:sz w:val="24"/>
          <w:szCs w:val="24"/>
          <w:lang w:val="es-ES"/>
        </w:rPr>
        <w:t xml:space="preserve">Jefe del Subproceso de Normas y Estándares de la Dirección de Tecnología de la Información. </w:t>
      </w:r>
    </w:p>
    <w:p w14:paraId="6E17EC3C"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Laura Gabriela Quirós Quirós – Subproceso de Normas y Estándares de la Dirección de Tecnología de la Información. </w:t>
      </w:r>
    </w:p>
    <w:p w14:paraId="26CEB176"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Arlette Zúñiga Lizano –Subproceso de Normas y Estándares de la Dirección de Tecnología de la Información.</w:t>
      </w:r>
    </w:p>
    <w:p w14:paraId="627AB27D"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sostenida con funcionarios del </w:t>
      </w:r>
      <w:r w:rsidRPr="00BB53C0">
        <w:rPr>
          <w:rFonts w:ascii="Arial" w:eastAsia="Times New Roman" w:hAnsi="Arial" w:cs="Arial"/>
          <w:sz w:val="24"/>
          <w:szCs w:val="24"/>
          <w:lang w:val="es-ES" w:eastAsia="es-ES"/>
        </w:rPr>
        <w:t xml:space="preserve">Subproceso de Normas y Estándares de la Dirección de Tecnología de la Información y Comunicación, relacionadas con las labores que han desempeñado ellos en los últimos meses sobre concientización a la población judicial. </w:t>
      </w:r>
    </w:p>
    <w:p w14:paraId="181E4F36"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5DD19060"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6</w:t>
      </w:r>
      <w:r w:rsidRPr="00BB53C0">
        <w:rPr>
          <w:rFonts w:ascii="Arial" w:eastAsia="Times New Roman" w:hAnsi="Arial" w:cs="Arial"/>
          <w:sz w:val="24"/>
          <w:szCs w:val="24"/>
          <w:lang w:val="es-ES"/>
        </w:rPr>
        <w:t>: En la primera audiencia del día 10 de noviembre de 2020.</w:t>
      </w:r>
    </w:p>
    <w:p w14:paraId="4B9C90D6"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506D330A"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084BE38C"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Michael Jiménez Ureña –Jefe del Subproceso de Normas y Estándares de la Dirección de Tecnología de la Información. </w:t>
      </w:r>
    </w:p>
    <w:p w14:paraId="62652E53"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Laura Gabriela Quirós Quirós – Subproceso de Normas y Estándares de la Dirección de Tecnología de la Información. </w:t>
      </w:r>
    </w:p>
    <w:p w14:paraId="5EAF1665"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lastRenderedPageBreak/>
        <w:t>Arlette Zúñiga Lizano –Subproceso de Normas y Estándares de la Dirección de Tecnología de la Información.</w:t>
      </w:r>
    </w:p>
    <w:p w14:paraId="7DFAFE46"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rPr>
        <w:t xml:space="preserve">Reunión con funcionarios del </w:t>
      </w:r>
      <w:r w:rsidRPr="00BB53C0">
        <w:rPr>
          <w:rFonts w:ascii="Arial" w:eastAsia="Times New Roman" w:hAnsi="Arial" w:cs="Arial"/>
          <w:sz w:val="24"/>
          <w:szCs w:val="24"/>
          <w:lang w:val="es-ES" w:eastAsia="es-ES"/>
        </w:rPr>
        <w:t xml:space="preserve">Subproceso de Normas y Estándares de la Dirección de Tecnología de la Información y Comunicación, a fin de coordinar aspectos varios sobre la presentación a realizar a </w:t>
      </w:r>
      <w:r w:rsidRPr="00BB53C0">
        <w:rPr>
          <w:rFonts w:ascii="Arial" w:eastAsia="Times New Roman" w:hAnsi="Arial" w:cs="Arial"/>
          <w:sz w:val="24"/>
          <w:szCs w:val="24"/>
          <w:lang w:val="es-ES"/>
        </w:rPr>
        <w:t xml:space="preserve">las señoras Magistradas y a los </w:t>
      </w:r>
      <w:r w:rsidRPr="00BB53C0">
        <w:rPr>
          <w:rFonts w:ascii="Arial" w:eastAsia="Times New Roman" w:hAnsi="Arial" w:cs="Arial"/>
          <w:sz w:val="24"/>
          <w:szCs w:val="24"/>
          <w:lang w:val="es-ES" w:eastAsia="es-ES"/>
        </w:rPr>
        <w:t xml:space="preserve">señores Magistrados de Corte Plena sobre prácticas que favorecen el resguardo de la información institucional contenida o transmitida a través de medios digitales o en formato físico. </w:t>
      </w:r>
    </w:p>
    <w:p w14:paraId="20F9BE9D"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28125831"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7</w:t>
      </w:r>
      <w:r w:rsidRPr="00BB53C0">
        <w:rPr>
          <w:rFonts w:ascii="Arial" w:eastAsia="Times New Roman" w:hAnsi="Arial" w:cs="Arial"/>
          <w:sz w:val="24"/>
          <w:szCs w:val="24"/>
          <w:lang w:val="es-ES"/>
        </w:rPr>
        <w:t>: En la primera audiencia del día 17 de noviembre de 2020.</w:t>
      </w:r>
    </w:p>
    <w:p w14:paraId="62CE0A65"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1571A02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431AD63C"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Michael Jiménez Ureña –Jefe del Subproceso de Normas y Estándares de la Dirección de Tecnología de la Información. </w:t>
      </w:r>
    </w:p>
    <w:p w14:paraId="7799873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Laura Gabriela Quirós Quirós – Subproceso de Normas y Estándares de la Dirección de Tecnología de la Información. </w:t>
      </w:r>
    </w:p>
    <w:p w14:paraId="57E678B7"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Arlette Zúñiga Lizano –Subproceso de Normas y Estándares de la Dirección de Tecnología de la Información.</w:t>
      </w:r>
    </w:p>
    <w:p w14:paraId="3FB1F5FF"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con funcionarios del </w:t>
      </w:r>
      <w:r w:rsidRPr="00BB53C0">
        <w:rPr>
          <w:rFonts w:ascii="Arial" w:eastAsia="Times New Roman" w:hAnsi="Arial" w:cs="Arial"/>
          <w:sz w:val="24"/>
          <w:szCs w:val="24"/>
          <w:lang w:val="es-ES" w:eastAsia="es-ES"/>
        </w:rPr>
        <w:t xml:space="preserve">Subproceso de Normas y Estándares de la Dirección de Tecnología de la Información y Comunicación sobre capacitación a impartir a funcionarios de la Sala de Casación Penal sobre Seguridad de la Información y aspectos relacionados con la presentación a realizar a </w:t>
      </w:r>
      <w:r w:rsidRPr="00BB53C0">
        <w:rPr>
          <w:rFonts w:ascii="Arial" w:eastAsia="Times New Roman" w:hAnsi="Arial" w:cs="Arial"/>
          <w:sz w:val="24"/>
          <w:szCs w:val="24"/>
          <w:lang w:val="es-ES"/>
        </w:rPr>
        <w:t xml:space="preserve">las señoras Magistradas y a los </w:t>
      </w:r>
      <w:r w:rsidRPr="00BB53C0">
        <w:rPr>
          <w:rFonts w:ascii="Arial" w:eastAsia="Times New Roman" w:hAnsi="Arial" w:cs="Arial"/>
          <w:sz w:val="24"/>
          <w:szCs w:val="24"/>
          <w:lang w:val="es-ES" w:eastAsia="es-ES"/>
        </w:rPr>
        <w:t xml:space="preserve">señores Magistrados de Corte Plena. </w:t>
      </w:r>
    </w:p>
    <w:p w14:paraId="2937189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41B75AB5"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8</w:t>
      </w:r>
      <w:r w:rsidRPr="00BB53C0">
        <w:rPr>
          <w:rFonts w:ascii="Arial" w:eastAsia="Times New Roman" w:hAnsi="Arial" w:cs="Arial"/>
          <w:sz w:val="24"/>
          <w:szCs w:val="24"/>
          <w:lang w:val="es-ES"/>
        </w:rPr>
        <w:t>: En la primera audiencia del día 8 de diciembre de 2020.</w:t>
      </w:r>
    </w:p>
    <w:p w14:paraId="321FA347"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02C7A640"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4041955B"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Juan Carlos Cubillo Miranda –Fiscal Adjunto 3. Fiscalía General. </w:t>
      </w:r>
    </w:p>
    <w:p w14:paraId="2F0B8F11"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Erick Lewis Hernández –Jefe de la Sección Especializada contra el Cibercrimen del Organismo de Investigación Judicial</w:t>
      </w:r>
    </w:p>
    <w:p w14:paraId="697C42D5"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Gezer Ramiro Molina Colomer –Funcionario de Tecnología de la Información. </w:t>
      </w:r>
    </w:p>
    <w:p w14:paraId="5F1CE667"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Ausentes con justificación: </w:t>
      </w:r>
    </w:p>
    <w:p w14:paraId="72BFF560"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lastRenderedPageBreak/>
        <w:t xml:space="preserve">Walter Espinoza Espinoza –Director del Organismo de Investigación Judicial. </w:t>
      </w:r>
    </w:p>
    <w:p w14:paraId="49355CA9"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Kattia Morales Navarro –Directora de Tecnología de la Información. </w:t>
      </w:r>
      <w:r w:rsidRPr="00BB53C0">
        <w:rPr>
          <w:rFonts w:ascii="Arial" w:eastAsia="Times New Roman" w:hAnsi="Arial" w:cs="Arial"/>
          <w:sz w:val="24"/>
          <w:szCs w:val="24"/>
          <w:lang w:val="es-ES"/>
        </w:rPr>
        <w:tab/>
      </w:r>
    </w:p>
    <w:p w14:paraId="1F3091BE"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Martín Hernández Serrano –Funcionario de Tecnología de la Información.</w:t>
      </w:r>
    </w:p>
    <w:p w14:paraId="2553F167"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Invitados: </w:t>
      </w:r>
    </w:p>
    <w:p w14:paraId="2060CBEB"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Edgar Oviedo Blanco –Representante del Colegio de Profesionales en Informática y Computación.</w:t>
      </w:r>
    </w:p>
    <w:p w14:paraId="3C7BC57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Óscar Esquivel Barquero –Representantes del Colegio de Profesionales en Informática y Computación.</w:t>
      </w:r>
    </w:p>
    <w:p w14:paraId="73546BC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Luis Alonso Ramírez Jiménez –Representantes del Colegio de Profesionales en Informática y Computación.</w:t>
      </w:r>
    </w:p>
    <w:p w14:paraId="08B7BEE9" w14:textId="274F7FB5"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con los integrantes de la Comisión para comunicar cada uno de los avances. En dicha oportunidad fueron invitados funcionarios del Colegio de Profesionales en Informática y Computación con la intención de retomar el Convenio Marco de Cooperación Interinstitucional entre dicho Colegio Profesional y el Poder Judicial, lo que involucra, entre otros aspectos, el tema de capacitación. También se hizo mención </w:t>
      </w:r>
      <w:r w:rsidR="003C5F37" w:rsidRPr="00BB53C0">
        <w:rPr>
          <w:rFonts w:ascii="Arial" w:eastAsia="Times New Roman" w:hAnsi="Arial" w:cs="Arial"/>
          <w:sz w:val="24"/>
          <w:szCs w:val="24"/>
          <w:lang w:val="es-ES"/>
        </w:rPr>
        <w:t>de</w:t>
      </w:r>
      <w:r w:rsidRPr="00BB53C0">
        <w:rPr>
          <w:rFonts w:ascii="Arial" w:eastAsia="Times New Roman" w:hAnsi="Arial" w:cs="Arial"/>
          <w:sz w:val="24"/>
          <w:szCs w:val="24"/>
          <w:lang w:val="es-ES"/>
        </w:rPr>
        <w:t xml:space="preserve"> un </w:t>
      </w:r>
      <w:r w:rsidR="003C5F37" w:rsidRPr="00BB53C0">
        <w:rPr>
          <w:rFonts w:ascii="Arial" w:eastAsia="Times New Roman" w:hAnsi="Arial" w:cs="Arial"/>
          <w:sz w:val="24"/>
          <w:szCs w:val="24"/>
          <w:lang w:val="es-ES"/>
        </w:rPr>
        <w:t>Clúster</w:t>
      </w:r>
      <w:r w:rsidRPr="00BB53C0">
        <w:rPr>
          <w:rFonts w:ascii="Arial" w:eastAsia="Times New Roman" w:hAnsi="Arial" w:cs="Arial"/>
          <w:sz w:val="24"/>
          <w:szCs w:val="24"/>
          <w:lang w:val="es-ES"/>
        </w:rPr>
        <w:t xml:space="preserve"> Nacional de Ciberseguridad</w:t>
      </w:r>
    </w:p>
    <w:p w14:paraId="0C23AFD0"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6F04D328" w14:textId="4045F96A" w:rsidR="003513FD" w:rsidRPr="00606D7A" w:rsidRDefault="003513FD" w:rsidP="00606D7A">
      <w:pPr>
        <w:pStyle w:val="Ttulo2"/>
        <w:numPr>
          <w:ilvl w:val="0"/>
          <w:numId w:val="0"/>
        </w:numPr>
        <w:rPr>
          <w:rFonts w:eastAsiaTheme="minorHAnsi" w:cs="Arial"/>
          <w:sz w:val="24"/>
          <w:szCs w:val="24"/>
          <w:lang w:val="es-ES"/>
        </w:rPr>
      </w:pPr>
      <w:r w:rsidRPr="00606D7A">
        <w:rPr>
          <w:rFonts w:eastAsiaTheme="minorHAnsi" w:cs="Arial"/>
          <w:sz w:val="24"/>
          <w:szCs w:val="24"/>
          <w:lang w:val="es-ES"/>
        </w:rPr>
        <w:t>Redacción de oficios</w:t>
      </w:r>
    </w:p>
    <w:p w14:paraId="272587D7" w14:textId="77777777" w:rsidR="003513FD" w:rsidRPr="00BB53C0" w:rsidRDefault="003513FD" w:rsidP="003513FD">
      <w:pPr>
        <w:spacing w:after="0" w:line="360" w:lineRule="auto"/>
        <w:ind w:left="720"/>
        <w:rPr>
          <w:rFonts w:ascii="Arial" w:eastAsiaTheme="minorHAnsi" w:hAnsi="Arial" w:cs="Arial"/>
          <w:sz w:val="24"/>
          <w:szCs w:val="24"/>
          <w:lang w:val="es-ES"/>
        </w:rPr>
      </w:pPr>
    </w:p>
    <w:p w14:paraId="65D9029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Oficios N° C-CDCS/01-2020</w:t>
      </w:r>
      <w:r w:rsidRPr="00BB53C0">
        <w:rPr>
          <w:rFonts w:ascii="Arial" w:eastAsia="Times New Roman" w:hAnsi="Arial" w:cs="Arial"/>
          <w:sz w:val="24"/>
          <w:szCs w:val="24"/>
          <w:lang w:val="es-ES" w:eastAsia="es-ES"/>
        </w:rPr>
        <w:t xml:space="preserve">, con fecha 12 de junio de 2020 y N° CCDCS/02-2020, del 15 de julio de 2020, en los que se pone en conocimiento a la Secretaria General de la Corte Suprema de Justicia la </w:t>
      </w:r>
      <w:r w:rsidRPr="00BB53C0">
        <w:rPr>
          <w:rFonts w:ascii="Arial" w:eastAsia="Times New Roman" w:hAnsi="Arial" w:cs="Arial"/>
          <w:i/>
          <w:iCs/>
          <w:sz w:val="24"/>
          <w:szCs w:val="24"/>
          <w:lang w:val="es-ES" w:eastAsia="es-ES"/>
        </w:rPr>
        <w:t>“Ficha técnica para las iniciativas de Ciberseguridad en el Poder Judicial”</w:t>
      </w:r>
      <w:r w:rsidRPr="00BB53C0">
        <w:rPr>
          <w:rFonts w:ascii="Arial" w:eastAsia="Times New Roman" w:hAnsi="Arial" w:cs="Arial"/>
          <w:sz w:val="24"/>
          <w:szCs w:val="24"/>
          <w:lang w:val="es-ES" w:eastAsia="es-ES"/>
        </w:rPr>
        <w:t>, para que se incluya a la mayor brevedad en la agenda de Corte Plena.</w:t>
      </w:r>
    </w:p>
    <w:p w14:paraId="51446F1C" w14:textId="77777777" w:rsidR="003513FD" w:rsidRPr="00BB53C0" w:rsidRDefault="003513FD" w:rsidP="003513FD">
      <w:pPr>
        <w:spacing w:after="0" w:line="360" w:lineRule="auto"/>
        <w:ind w:left="720"/>
        <w:rPr>
          <w:rFonts w:ascii="Arial" w:eastAsiaTheme="minorHAnsi" w:hAnsi="Arial" w:cs="Arial"/>
          <w:sz w:val="24"/>
          <w:szCs w:val="24"/>
          <w:lang w:val="es-ES"/>
        </w:rPr>
      </w:pPr>
    </w:p>
    <w:p w14:paraId="4967575E"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C-CDCS/03-2020</w:t>
      </w:r>
      <w:r w:rsidRPr="00BB53C0">
        <w:rPr>
          <w:rFonts w:ascii="Arial" w:eastAsia="Times New Roman" w:hAnsi="Arial" w:cs="Arial"/>
          <w:sz w:val="24"/>
          <w:szCs w:val="24"/>
          <w:lang w:val="es-ES" w:eastAsia="es-ES"/>
        </w:rPr>
        <w:t xml:space="preserve">, del 8 de setiembre de 2020, dirigido a la Directora de la Escuela Judicial en el que se le solicita para que autorice a un funcionario del Área de Servicios Técnicos para que elabore una propuesta de Imagotipo para la Comisión de Ciberseguridad y Ciberdelincuencia. </w:t>
      </w:r>
    </w:p>
    <w:p w14:paraId="1C8F94F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4B522C6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lastRenderedPageBreak/>
        <w:t>Oficio N° C-CDCS/04-2020</w:t>
      </w:r>
      <w:r w:rsidRPr="00BB53C0">
        <w:rPr>
          <w:rFonts w:ascii="Arial" w:eastAsia="Times New Roman" w:hAnsi="Arial" w:cs="Arial"/>
          <w:sz w:val="24"/>
          <w:szCs w:val="24"/>
          <w:lang w:val="es-ES" w:eastAsia="es-ES"/>
        </w:rPr>
        <w:t xml:space="preserve">, con fecha 15 de octubre de 2020, dirigido a la Secretaria General de la Corte Suprema de Justicia, el cual da respuesta al oficio Nº 7890-2020, que se relaciona con lo dispuesto por la Corte Plena en la sesión N° 42-2020 celebrada el 20 de julio de los corrientes, artículo XVI, en el que se solicita que cada una de las Comisiones existentes en la actualidad, informen a la Corte sobre su efectiva vigencia, así como de la necesidad de continuar operando en atención al cumplimiento de los fines que orientaron su creación. </w:t>
      </w:r>
    </w:p>
    <w:p w14:paraId="2A7D79F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2ABD458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C-CDCS/05-2020</w:t>
      </w:r>
      <w:r w:rsidRPr="00BB53C0">
        <w:rPr>
          <w:rFonts w:ascii="Arial" w:eastAsia="Times New Roman" w:hAnsi="Arial" w:cs="Arial"/>
          <w:sz w:val="24"/>
          <w:szCs w:val="24"/>
          <w:lang w:val="es-ES" w:eastAsia="es-ES"/>
        </w:rPr>
        <w:t xml:space="preserve">, del 16 de octubre de 2020, dirigido a la Secretaria General de la Corte Suprema de Justicia, en el que se solicita asignar un espacio en la agenda de Corte Plena para que compañeros y compañeras del Departamento de Tecnología de la Información realicen una exposición a las señoras Magistradas y a los señores Magistrados de la Corte Suprema de Justicia sobre prácticas que favorecen el resguardo de la información institucional contenida o transmitida a través de medios digitales o en formato físico. Lo anterior, a propósito de la conmemoración, el 30 de noviembre, del </w:t>
      </w:r>
      <w:r w:rsidRPr="00BB53C0">
        <w:rPr>
          <w:rFonts w:ascii="Arial" w:eastAsia="Times New Roman" w:hAnsi="Arial" w:cs="Arial"/>
          <w:i/>
          <w:iCs/>
          <w:sz w:val="24"/>
          <w:szCs w:val="24"/>
          <w:lang w:val="es-ES" w:eastAsia="es-ES"/>
        </w:rPr>
        <w:t>“Día Internacional de la Seguridad de la Información”</w:t>
      </w:r>
      <w:r w:rsidRPr="00BB53C0">
        <w:rPr>
          <w:rFonts w:ascii="Arial" w:eastAsia="Times New Roman" w:hAnsi="Arial" w:cs="Arial"/>
          <w:sz w:val="24"/>
          <w:szCs w:val="24"/>
          <w:lang w:val="es-ES" w:eastAsia="es-ES"/>
        </w:rPr>
        <w:t xml:space="preserve">. Esta actividad se llevó a cabo el 14 de diciembre de 2020. </w:t>
      </w:r>
    </w:p>
    <w:p w14:paraId="3A20765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0A682FC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C-CDCS/06-2020</w:t>
      </w:r>
      <w:r w:rsidRPr="00BB53C0">
        <w:rPr>
          <w:rFonts w:ascii="Arial" w:eastAsia="Times New Roman" w:hAnsi="Arial" w:cs="Arial"/>
          <w:sz w:val="24"/>
          <w:szCs w:val="24"/>
          <w:lang w:val="es-ES" w:eastAsia="es-ES"/>
        </w:rPr>
        <w:t xml:space="preserve">, del 21 de octubre de 2020, dirigido a la Directora de Gestión Humana, en el que se le solicita se procedan a ejecutar las acciones correspondientes para que el curso virtual </w:t>
      </w:r>
      <w:r w:rsidRPr="00BB53C0">
        <w:rPr>
          <w:rFonts w:ascii="Arial" w:eastAsia="Times New Roman" w:hAnsi="Arial" w:cs="Arial"/>
          <w:i/>
          <w:iCs/>
          <w:sz w:val="24"/>
          <w:szCs w:val="24"/>
          <w:lang w:val="es-ES" w:eastAsia="es-ES"/>
        </w:rPr>
        <w:t>“Seguridad de la Información y Seguridad informática”</w:t>
      </w:r>
      <w:r w:rsidRPr="00BB53C0">
        <w:rPr>
          <w:rFonts w:ascii="Arial" w:eastAsia="Times New Roman" w:hAnsi="Arial" w:cs="Arial"/>
          <w:sz w:val="24"/>
          <w:szCs w:val="24"/>
          <w:lang w:val="es-ES" w:eastAsia="es-ES"/>
        </w:rPr>
        <w:t xml:space="preserve">, </w:t>
      </w:r>
      <w:r w:rsidRPr="00BB53C0">
        <w:rPr>
          <w:rFonts w:ascii="Arial" w:eastAsia="Times New Roman" w:hAnsi="Arial" w:cs="Arial"/>
          <w:bCs/>
          <w:sz w:val="24"/>
          <w:szCs w:val="24"/>
          <w:lang w:val="es-ES" w:eastAsia="es-ES"/>
        </w:rPr>
        <w:t xml:space="preserve">se establezca como obligatorio y, en consecuencia, se comience a impartir a las personas funcionarias de primer ingreso al Poder Judicial, así como a quienes ya se encuentran laborando en la institución, como parte del proceso de actualización y formación continua. Lo anterior, en atención a que es un aspecto que debe cumplirse al encontrarse establecido la </w:t>
      </w:r>
      <w:r w:rsidRPr="00BB53C0">
        <w:rPr>
          <w:rFonts w:ascii="Arial" w:eastAsia="Times New Roman" w:hAnsi="Arial" w:cs="Arial"/>
          <w:bCs/>
          <w:i/>
          <w:iCs/>
          <w:sz w:val="24"/>
          <w:szCs w:val="24"/>
          <w:lang w:val="es-ES" w:eastAsia="es-ES"/>
        </w:rPr>
        <w:t>“Ficha técnica para las iniciativas de Ciberseguridad en el Poder Judicial”</w:t>
      </w:r>
      <w:r w:rsidRPr="00BB53C0">
        <w:rPr>
          <w:rFonts w:ascii="Arial" w:eastAsia="Times New Roman" w:hAnsi="Arial" w:cs="Arial"/>
          <w:bCs/>
          <w:sz w:val="24"/>
          <w:szCs w:val="24"/>
          <w:lang w:val="es-ES" w:eastAsia="es-ES"/>
        </w:rPr>
        <w:t xml:space="preserve">, la cual fue aprobada por Corte Plena mediante sesión N° 50-2020, celebrada el 7 de setiembre del presente año, Artículo XV. </w:t>
      </w:r>
    </w:p>
    <w:p w14:paraId="59FDFF7E"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003F7DF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lastRenderedPageBreak/>
        <w:t>Oficio N° C-CDCS/07-2020</w:t>
      </w:r>
      <w:r w:rsidRPr="00BB53C0">
        <w:rPr>
          <w:rFonts w:ascii="Arial" w:eastAsia="Times New Roman" w:hAnsi="Arial" w:cs="Arial"/>
          <w:sz w:val="24"/>
          <w:szCs w:val="24"/>
          <w:lang w:val="es-ES" w:eastAsia="es-ES"/>
        </w:rPr>
        <w:t>, del 5 de noviembre de 2020, dirigido a los integrantes de la Comisión de Ciberseguridad y Ciberdelincuencia con propuestas de logos para su conocimiento y valoración. </w:t>
      </w:r>
    </w:p>
    <w:p w14:paraId="1ECF08A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078BA57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Oficios N° C-CDCS/08-2020</w:t>
      </w:r>
      <w:r w:rsidRPr="00BB53C0">
        <w:rPr>
          <w:rFonts w:ascii="Arial" w:eastAsia="Times New Roman" w:hAnsi="Arial" w:cs="Arial"/>
          <w:sz w:val="24"/>
          <w:szCs w:val="24"/>
          <w:lang w:val="es-ES" w:eastAsia="es-ES"/>
        </w:rPr>
        <w:t xml:space="preserve"> al CCDCS/38-2020, con fecha 17 de noviembre de 2020, dirigido a las señoras Magistradas y a los señores Magistrados de la Corte Suprema de Justicia, integrantes de la Comisión y otros funcionarios judiciales, en el que se les pone en conocimiento que se les hace entrega de un sobre con documentación útil sobre prácticas que favorecen el resguardo de la información institucional contenida o transmitida a través de medios digitales o en formato físico, como un esfuerzo conjunto de la Dirección de Tecnología de la Información, la Sección de Comunicación Organizacional y la Comisión de Alto Nivel de Ciberseguridad y Cibercrimen del Poder Judicial.</w:t>
      </w:r>
    </w:p>
    <w:p w14:paraId="1356BFD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0209474A" w14:textId="77777777" w:rsidR="003513FD" w:rsidRPr="00BB53C0" w:rsidRDefault="003513FD" w:rsidP="003513FD">
      <w:pPr>
        <w:spacing w:after="0" w:line="360" w:lineRule="auto"/>
        <w:ind w:firstLine="708"/>
        <w:jc w:val="both"/>
        <w:rPr>
          <w:rFonts w:ascii="Arial" w:eastAsia="Times New Roman" w:hAnsi="Arial" w:cs="Arial"/>
          <w:color w:val="000000"/>
          <w:sz w:val="24"/>
          <w:szCs w:val="24"/>
          <w:lang w:val="es-ES" w:eastAsia="es-ES"/>
        </w:rPr>
      </w:pPr>
      <w:r w:rsidRPr="00BB53C0">
        <w:rPr>
          <w:rFonts w:ascii="Arial" w:eastAsia="Times New Roman" w:hAnsi="Arial" w:cs="Arial"/>
          <w:b/>
          <w:bCs/>
          <w:sz w:val="24"/>
          <w:szCs w:val="24"/>
          <w:lang w:val="es-ES" w:eastAsia="es-ES"/>
        </w:rPr>
        <w:t>Oficio N° C-CDCS/39-2020</w:t>
      </w:r>
      <w:r w:rsidRPr="00BB53C0">
        <w:rPr>
          <w:rFonts w:ascii="Arial" w:eastAsia="Times New Roman" w:hAnsi="Arial" w:cs="Arial"/>
          <w:sz w:val="24"/>
          <w:szCs w:val="24"/>
          <w:lang w:val="es-ES" w:eastAsia="es-ES"/>
        </w:rPr>
        <w:t xml:space="preserve">, del 18 de noviembre de 2020, dirigido al Consejo Superior en el que se le solicita </w:t>
      </w:r>
      <w:r w:rsidRPr="00BB53C0">
        <w:rPr>
          <w:rFonts w:ascii="Arial" w:eastAsiaTheme="minorHAnsi" w:hAnsi="Arial" w:cs="Arial"/>
          <w:sz w:val="24"/>
          <w:szCs w:val="24"/>
          <w:lang w:val="es-ES" w:eastAsia="es-ES"/>
        </w:rPr>
        <w:t>interponer</w:t>
      </w:r>
      <w:r w:rsidRPr="00BB53C0">
        <w:rPr>
          <w:rFonts w:ascii="Arial" w:eastAsia="Times New Roman" w:hAnsi="Arial" w:cs="Arial"/>
          <w:color w:val="000000"/>
          <w:sz w:val="24"/>
          <w:szCs w:val="24"/>
          <w:lang w:val="es-ES" w:eastAsia="es-ES"/>
        </w:rPr>
        <w:t xml:space="preserve"> sus buenos oficios para que la Dirección Jurídica del Poder Judicial, proceda con el trámite de inscripción del </w:t>
      </w:r>
      <w:r w:rsidRPr="00BB53C0">
        <w:rPr>
          <w:rFonts w:ascii="Arial" w:eastAsia="Times New Roman" w:hAnsi="Arial" w:cs="Arial"/>
          <w:sz w:val="24"/>
          <w:szCs w:val="24"/>
          <w:lang w:val="es-ES" w:eastAsia="es-ES"/>
        </w:rPr>
        <w:t>Imagotipo</w:t>
      </w:r>
      <w:r w:rsidRPr="00BB53C0">
        <w:rPr>
          <w:rFonts w:ascii="Arial" w:eastAsia="Times New Roman" w:hAnsi="Arial" w:cs="Arial"/>
          <w:color w:val="000000"/>
          <w:sz w:val="24"/>
          <w:szCs w:val="24"/>
          <w:lang w:val="es-ES" w:eastAsia="es-ES"/>
        </w:rPr>
        <w:t xml:space="preserve"> aprobado por la </w:t>
      </w:r>
      <w:r w:rsidRPr="00BB53C0">
        <w:rPr>
          <w:rFonts w:ascii="Arial" w:eastAsia="Times New Roman" w:hAnsi="Arial" w:cs="Arial"/>
          <w:sz w:val="24"/>
          <w:szCs w:val="24"/>
          <w:lang w:val="es-ES" w:eastAsia="es-ES"/>
        </w:rPr>
        <w:t>Comisión de Ciberseguridad y Ciberdelincuencia</w:t>
      </w:r>
      <w:r w:rsidRPr="00BB53C0">
        <w:rPr>
          <w:rFonts w:ascii="Arial" w:eastAsia="Times New Roman" w:hAnsi="Arial" w:cs="Arial"/>
          <w:color w:val="000000"/>
          <w:sz w:val="24"/>
          <w:szCs w:val="24"/>
          <w:lang w:val="es-ES" w:eastAsia="es-ES"/>
        </w:rPr>
        <w:t xml:space="preserve">. </w:t>
      </w:r>
    </w:p>
    <w:p w14:paraId="39008241" w14:textId="77777777" w:rsidR="003513FD" w:rsidRPr="00BB53C0" w:rsidRDefault="003513FD" w:rsidP="003513FD">
      <w:pPr>
        <w:spacing w:after="0" w:line="360" w:lineRule="auto"/>
        <w:ind w:firstLine="708"/>
        <w:jc w:val="both"/>
        <w:rPr>
          <w:rFonts w:ascii="Arial" w:eastAsia="Times New Roman" w:hAnsi="Arial" w:cs="Arial"/>
          <w:color w:val="000000"/>
          <w:sz w:val="24"/>
          <w:szCs w:val="24"/>
          <w:lang w:val="es-ES" w:eastAsia="es-ES"/>
        </w:rPr>
      </w:pPr>
    </w:p>
    <w:p w14:paraId="0D8DE68C" w14:textId="77777777" w:rsidR="00606D7A" w:rsidRDefault="003513FD" w:rsidP="00606D7A">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C-CDCS/40-2020</w:t>
      </w:r>
      <w:r w:rsidRPr="00BB53C0">
        <w:rPr>
          <w:rFonts w:ascii="Arial" w:eastAsia="Times New Roman" w:hAnsi="Arial" w:cs="Arial"/>
          <w:sz w:val="24"/>
          <w:szCs w:val="24"/>
          <w:lang w:val="es-ES" w:eastAsia="es-ES"/>
        </w:rPr>
        <w:t xml:space="preserve">, del 3 de diciembre de 2020, dirigido al Magistrado Luis Guillermo Rivas Loáiciga, Coordinador de la </w:t>
      </w:r>
      <w:r w:rsidRPr="00BB53C0">
        <w:rPr>
          <w:rFonts w:ascii="Arial" w:eastAsiaTheme="minorHAnsi" w:hAnsi="Arial" w:cs="Arial"/>
          <w:sz w:val="24"/>
          <w:szCs w:val="24"/>
          <w:lang w:val="es-ES" w:eastAsia="es-ES"/>
        </w:rPr>
        <w:t>Comisión Gerencial de Tecnologías de la Información y Comunicaciones</w:t>
      </w:r>
      <w:r w:rsidRPr="00BB53C0">
        <w:rPr>
          <w:rFonts w:ascii="Arial" w:eastAsia="Times New Roman" w:hAnsi="Arial" w:cs="Arial"/>
          <w:sz w:val="24"/>
          <w:szCs w:val="24"/>
          <w:lang w:val="es-ES" w:eastAsia="es-ES"/>
        </w:rPr>
        <w:t xml:space="preserve">, en el que se le manifiesta el compromiso para fortalecer las buenas prácticas de seguridad para las funcionarias y los funcionarios que laboran bajo la modalidad de teletrabajo en nuestra institución y se le solicita informe si actualmente se cuenta con una iniciativa en el Poder Judicial para regular el teletrabajo.   </w:t>
      </w:r>
    </w:p>
    <w:p w14:paraId="5299E9A2" w14:textId="77777777" w:rsidR="00606D7A" w:rsidRDefault="00606D7A" w:rsidP="00606D7A">
      <w:pPr>
        <w:spacing w:after="0" w:line="360" w:lineRule="auto"/>
        <w:jc w:val="both"/>
        <w:rPr>
          <w:rFonts w:ascii="Arial" w:eastAsia="Times New Roman" w:hAnsi="Arial" w:cs="Arial"/>
          <w:sz w:val="24"/>
          <w:szCs w:val="24"/>
          <w:lang w:val="es-ES" w:eastAsia="es-ES"/>
        </w:rPr>
      </w:pPr>
    </w:p>
    <w:p w14:paraId="0D229AFE" w14:textId="587C6128" w:rsidR="003513FD" w:rsidRPr="00606D7A" w:rsidRDefault="00606D7A" w:rsidP="00606D7A">
      <w:pPr>
        <w:spacing w:after="0" w:line="360" w:lineRule="auto"/>
        <w:jc w:val="both"/>
        <w:rPr>
          <w:rFonts w:ascii="Arial" w:eastAsia="Times New Roman" w:hAnsi="Arial" w:cs="Arial"/>
          <w:b/>
          <w:bCs/>
          <w:color w:val="000000"/>
          <w:sz w:val="24"/>
          <w:szCs w:val="24"/>
          <w:lang w:val="es-ES" w:eastAsia="es-ES"/>
        </w:rPr>
      </w:pPr>
      <w:r>
        <w:rPr>
          <w:rFonts w:ascii="Arial" w:eastAsiaTheme="minorHAnsi" w:hAnsi="Arial" w:cs="Arial"/>
          <w:b/>
          <w:bCs/>
          <w:sz w:val="24"/>
          <w:szCs w:val="24"/>
          <w:lang w:val="es-ES"/>
        </w:rPr>
        <w:t>R</w:t>
      </w:r>
      <w:r w:rsidR="003513FD" w:rsidRPr="00606D7A">
        <w:rPr>
          <w:rFonts w:ascii="Arial" w:eastAsiaTheme="minorHAnsi" w:hAnsi="Arial" w:cs="Arial"/>
          <w:b/>
          <w:bCs/>
          <w:sz w:val="24"/>
          <w:szCs w:val="24"/>
          <w:lang w:val="es-ES"/>
        </w:rPr>
        <w:t>edacción de otros documentos</w:t>
      </w:r>
    </w:p>
    <w:p w14:paraId="03A0B827" w14:textId="77777777" w:rsidR="003513FD" w:rsidRPr="00BB53C0" w:rsidRDefault="003513FD" w:rsidP="003513FD">
      <w:pPr>
        <w:spacing w:after="0" w:line="360" w:lineRule="auto"/>
        <w:ind w:left="1440"/>
        <w:rPr>
          <w:rFonts w:ascii="Arial" w:eastAsiaTheme="minorHAnsi" w:hAnsi="Arial" w:cs="Arial"/>
          <w:sz w:val="24"/>
          <w:szCs w:val="24"/>
          <w:lang w:val="es-ES"/>
        </w:rPr>
      </w:pPr>
    </w:p>
    <w:p w14:paraId="47C55449" w14:textId="77777777" w:rsidR="003513FD" w:rsidRPr="00BB53C0" w:rsidRDefault="003513FD" w:rsidP="003513FD">
      <w:pPr>
        <w:spacing w:after="0" w:line="360" w:lineRule="auto"/>
        <w:ind w:firstLine="708"/>
        <w:jc w:val="both"/>
        <w:rPr>
          <w:rFonts w:ascii="Arial" w:eastAsia="Times New Roman" w:hAnsi="Arial" w:cs="Arial"/>
          <w:bCs/>
          <w:sz w:val="24"/>
          <w:szCs w:val="24"/>
          <w:lang w:val="es-ES" w:eastAsia="es-ES"/>
        </w:rPr>
      </w:pPr>
      <w:r w:rsidRPr="00BB53C0">
        <w:rPr>
          <w:rFonts w:ascii="Arial" w:eastAsia="Times New Roman" w:hAnsi="Arial" w:cs="Arial"/>
          <w:sz w:val="24"/>
          <w:szCs w:val="24"/>
          <w:lang w:val="es-ES" w:eastAsia="es-ES"/>
        </w:rPr>
        <w:t>Durante el primer semestre del año 2020 se elaboró la</w:t>
      </w:r>
      <w:r w:rsidRPr="00BB53C0">
        <w:rPr>
          <w:rFonts w:ascii="Arial" w:eastAsia="Times New Roman" w:hAnsi="Arial" w:cs="Arial"/>
          <w:bCs/>
          <w:i/>
          <w:iCs/>
          <w:sz w:val="24"/>
          <w:szCs w:val="24"/>
          <w:lang w:val="es-ES" w:eastAsia="es-ES"/>
        </w:rPr>
        <w:t xml:space="preserve"> “Ficha técnica para las iniciativas de Ciberseguridad en el Poder Judicial”</w:t>
      </w:r>
      <w:r w:rsidRPr="00BB53C0">
        <w:rPr>
          <w:rFonts w:ascii="Arial" w:eastAsia="Times New Roman" w:hAnsi="Arial" w:cs="Arial"/>
          <w:bCs/>
          <w:sz w:val="24"/>
          <w:szCs w:val="24"/>
          <w:lang w:val="es-ES" w:eastAsia="es-ES"/>
        </w:rPr>
        <w:t xml:space="preserve">, la cual fue aprobada por Corte Plena mediante sesión N° 50-2020, celebrada el 7 de setiembre del presente año, Artículo XV. </w:t>
      </w:r>
    </w:p>
    <w:p w14:paraId="783F3D1F" w14:textId="77777777" w:rsidR="003513FD" w:rsidRPr="00BB53C0" w:rsidRDefault="003513FD" w:rsidP="003513FD">
      <w:pPr>
        <w:spacing w:after="0" w:line="360" w:lineRule="auto"/>
        <w:ind w:firstLine="708"/>
        <w:jc w:val="both"/>
        <w:rPr>
          <w:rFonts w:ascii="Arial" w:eastAsia="Times New Roman" w:hAnsi="Arial" w:cs="Arial"/>
          <w:bCs/>
          <w:sz w:val="24"/>
          <w:szCs w:val="24"/>
          <w:lang w:val="es-ES" w:eastAsia="es-ES"/>
        </w:rPr>
      </w:pPr>
    </w:p>
    <w:p w14:paraId="2D18CED7" w14:textId="77777777" w:rsidR="003513FD" w:rsidRPr="00BB53C0" w:rsidRDefault="003513FD" w:rsidP="003513FD">
      <w:pPr>
        <w:spacing w:after="0" w:line="360" w:lineRule="auto"/>
        <w:ind w:firstLine="708"/>
        <w:jc w:val="both"/>
        <w:rPr>
          <w:rFonts w:ascii="Arial" w:eastAsia="Times New Roman" w:hAnsi="Arial" w:cs="Arial"/>
          <w:bCs/>
          <w:sz w:val="24"/>
          <w:szCs w:val="24"/>
          <w:lang w:val="es-ES" w:eastAsia="es-ES"/>
        </w:rPr>
      </w:pPr>
      <w:r w:rsidRPr="00BB53C0">
        <w:rPr>
          <w:rFonts w:ascii="Arial" w:eastAsia="Times New Roman" w:hAnsi="Arial" w:cs="Arial"/>
          <w:bCs/>
          <w:sz w:val="24"/>
          <w:szCs w:val="24"/>
          <w:lang w:val="es-ES" w:eastAsia="es-ES"/>
        </w:rPr>
        <w:t xml:space="preserve">En los meses de octubre y noviembre de 2020 se elaboró, en conjunto con el Departamento de Comunicación Organizacional, una Estrategia de Comunicación de la Política y los lineamientos de Seguridad de la Información. </w:t>
      </w:r>
    </w:p>
    <w:p w14:paraId="2BC3DC42" w14:textId="77777777" w:rsidR="003513FD" w:rsidRPr="00BB53C0" w:rsidRDefault="003513FD" w:rsidP="003513FD">
      <w:pPr>
        <w:spacing w:after="0" w:line="360" w:lineRule="auto"/>
        <w:ind w:left="1440"/>
        <w:rPr>
          <w:rFonts w:ascii="Arial" w:eastAsiaTheme="minorHAnsi" w:hAnsi="Arial" w:cs="Arial"/>
          <w:sz w:val="24"/>
          <w:szCs w:val="24"/>
          <w:lang w:val="es-ES"/>
        </w:rPr>
      </w:pPr>
    </w:p>
    <w:p w14:paraId="13E594C4" w14:textId="36C03478" w:rsidR="003513FD" w:rsidRPr="00606D7A" w:rsidRDefault="003513FD" w:rsidP="00606D7A">
      <w:pPr>
        <w:pStyle w:val="Ttulo2"/>
        <w:numPr>
          <w:ilvl w:val="0"/>
          <w:numId w:val="0"/>
        </w:numPr>
        <w:ind w:left="284"/>
        <w:rPr>
          <w:rFonts w:eastAsiaTheme="minorHAnsi" w:cs="Arial"/>
          <w:sz w:val="24"/>
          <w:szCs w:val="24"/>
          <w:lang w:val="es-ES"/>
        </w:rPr>
      </w:pPr>
      <w:r w:rsidRPr="00606D7A">
        <w:rPr>
          <w:rFonts w:eastAsiaTheme="minorHAnsi" w:cs="Arial"/>
          <w:sz w:val="24"/>
          <w:szCs w:val="24"/>
          <w:lang w:val="es-ES"/>
        </w:rPr>
        <w:t>Coordinación y ejecución</w:t>
      </w:r>
      <w:r w:rsidR="00606D7A">
        <w:rPr>
          <w:rFonts w:eastAsiaTheme="minorHAnsi" w:cs="Arial"/>
          <w:sz w:val="24"/>
          <w:szCs w:val="24"/>
          <w:lang w:val="es-ES"/>
        </w:rPr>
        <w:t xml:space="preserve"> </w:t>
      </w:r>
      <w:r w:rsidRPr="00606D7A">
        <w:rPr>
          <w:rFonts w:eastAsiaTheme="minorHAnsi" w:cs="Arial"/>
          <w:sz w:val="24"/>
          <w:szCs w:val="24"/>
          <w:lang w:val="es-ES"/>
        </w:rPr>
        <w:t>de actividades</w:t>
      </w:r>
    </w:p>
    <w:p w14:paraId="6988CCF0" w14:textId="77777777" w:rsidR="003513FD" w:rsidRPr="00BB53C0" w:rsidRDefault="003513FD" w:rsidP="003513FD">
      <w:pPr>
        <w:spacing w:after="0" w:line="360" w:lineRule="auto"/>
        <w:jc w:val="both"/>
        <w:rPr>
          <w:rFonts w:ascii="Arial" w:eastAsia="Times New Roman" w:hAnsi="Arial" w:cs="Arial"/>
          <w:bCs/>
          <w:sz w:val="24"/>
          <w:szCs w:val="24"/>
          <w:lang w:val="es-ES" w:eastAsia="es-ES"/>
        </w:rPr>
      </w:pPr>
    </w:p>
    <w:p w14:paraId="402AF3B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Las actividades que a continuación se detallan, se coordinaron en su mayoría por correo electrónico o reuniones por medio de la plataforma TEAMS.</w:t>
      </w:r>
    </w:p>
    <w:p w14:paraId="4AD3CBB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3A3AA2A4"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Coordinación de reunión extraordinaria sostenida en Corte Plena el 1 de junio de 2020, en la que, en condición de coordinadora de la Comisión, realizó una breve exposición -junto a compañeros de Tecnología de la Información- a las señoras Magistradas y a los señores Magistrados </w:t>
      </w:r>
      <w:r w:rsidRPr="00BB53C0">
        <w:rPr>
          <w:rFonts w:ascii="Arial" w:eastAsia="Times New Roman" w:hAnsi="Arial" w:cs="Arial"/>
          <w:sz w:val="24"/>
          <w:szCs w:val="24"/>
          <w:lang w:val="es-ES" w:eastAsia="es-ES"/>
        </w:rPr>
        <w:t xml:space="preserve">de Corte Plena </w:t>
      </w:r>
      <w:r w:rsidRPr="00BB53C0">
        <w:rPr>
          <w:rFonts w:ascii="Arial" w:eastAsia="Times New Roman" w:hAnsi="Arial" w:cs="Arial"/>
          <w:sz w:val="24"/>
          <w:szCs w:val="24"/>
          <w:lang w:val="es-ES"/>
        </w:rPr>
        <w:t xml:space="preserve">sobre la Hoja de Ruta seguida dentro de la Comisión. </w:t>
      </w:r>
    </w:p>
    <w:p w14:paraId="767E36C8"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p>
    <w:p w14:paraId="6308824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rPr>
        <w:t xml:space="preserve">Coordinación con </w:t>
      </w:r>
      <w:r w:rsidRPr="00BB53C0">
        <w:rPr>
          <w:rFonts w:ascii="Arial" w:eastAsia="Times New Roman" w:hAnsi="Arial" w:cs="Arial"/>
          <w:sz w:val="24"/>
          <w:szCs w:val="24"/>
          <w:lang w:val="es-ES" w:eastAsia="es-ES"/>
        </w:rPr>
        <w:t xml:space="preserve">la Escuela Judicial y funcionarios de Tecnología de la Información para el diseño de un Imagotipo que represente a la Comisión de Ciberseguridad y Ciberdelincuencia, el cual fue aprobado por la misma. </w:t>
      </w:r>
    </w:p>
    <w:p w14:paraId="5879CB28" w14:textId="77777777" w:rsidR="003513FD" w:rsidRPr="00BB53C0" w:rsidRDefault="003513FD" w:rsidP="003513FD">
      <w:pPr>
        <w:spacing w:after="0" w:line="360" w:lineRule="auto"/>
        <w:ind w:firstLine="708"/>
        <w:jc w:val="both"/>
        <w:rPr>
          <w:rFonts w:ascii="Arial" w:eastAsia="Times New Roman" w:hAnsi="Arial" w:cs="Arial"/>
          <w:sz w:val="24"/>
          <w:szCs w:val="24"/>
          <w:lang w:eastAsia="es-CR"/>
        </w:rPr>
      </w:pPr>
    </w:p>
    <w:p w14:paraId="5373ABAD" w14:textId="77777777" w:rsidR="003513FD" w:rsidRPr="00BB53C0" w:rsidRDefault="003513FD" w:rsidP="003513FD">
      <w:pPr>
        <w:spacing w:after="0" w:line="360" w:lineRule="auto"/>
        <w:ind w:firstLine="708"/>
        <w:jc w:val="both"/>
        <w:rPr>
          <w:rFonts w:ascii="Arial" w:eastAsia="Times New Roman" w:hAnsi="Arial" w:cs="Arial"/>
          <w:bCs/>
          <w:sz w:val="24"/>
          <w:szCs w:val="24"/>
          <w:lang w:val="es-ES" w:eastAsia="es-ES"/>
        </w:rPr>
      </w:pPr>
      <w:r w:rsidRPr="00BB53C0">
        <w:rPr>
          <w:rFonts w:ascii="Arial" w:eastAsia="Times New Roman" w:hAnsi="Arial" w:cs="Arial"/>
          <w:sz w:val="24"/>
          <w:szCs w:val="24"/>
          <w:lang w:val="es-ES" w:eastAsia="es-ES"/>
        </w:rPr>
        <w:t xml:space="preserve">Coordinación </w:t>
      </w:r>
      <w:r w:rsidRPr="00BB53C0">
        <w:rPr>
          <w:rFonts w:ascii="Arial" w:eastAsia="Times New Roman" w:hAnsi="Arial" w:cs="Arial"/>
          <w:bCs/>
          <w:sz w:val="24"/>
          <w:szCs w:val="24"/>
          <w:lang w:val="es-ES" w:eastAsia="es-ES"/>
        </w:rPr>
        <w:t xml:space="preserve">con el Departamento de Comunicación Organizacional (en colaboración con el Departamento de Tecnología de la Información) sobre el diseño y contenido de las cápsulas para la Campaña de Seguridad de la Información, la cual se hizo efectiva en los meses de octubre y noviembre, tomando en cuenta que octubre es el mes de la Ciberseguridad y el 30 de noviembre es el día de la Seguridad de la Información. </w:t>
      </w:r>
    </w:p>
    <w:p w14:paraId="178DE62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 </w:t>
      </w:r>
    </w:p>
    <w:p w14:paraId="39C2A1D6" w14:textId="77777777" w:rsidR="003513FD" w:rsidRPr="00BB53C0" w:rsidRDefault="003513FD" w:rsidP="003513FD">
      <w:pPr>
        <w:spacing w:after="0" w:line="360" w:lineRule="auto"/>
        <w:ind w:firstLine="708"/>
        <w:jc w:val="both"/>
        <w:rPr>
          <w:rFonts w:ascii="Arial" w:eastAsia="Times New Roman" w:hAnsi="Arial" w:cs="Arial"/>
          <w:bCs/>
          <w:sz w:val="24"/>
          <w:szCs w:val="24"/>
          <w:lang w:val="es-ES" w:eastAsia="es-ES"/>
        </w:rPr>
      </w:pPr>
      <w:r w:rsidRPr="00BB53C0">
        <w:rPr>
          <w:rFonts w:ascii="Arial" w:eastAsia="Times New Roman" w:hAnsi="Arial" w:cs="Arial"/>
          <w:bCs/>
          <w:sz w:val="24"/>
          <w:szCs w:val="24"/>
          <w:lang w:val="es-ES" w:eastAsia="es-ES"/>
        </w:rPr>
        <w:t xml:space="preserve">Coordinación con el Departamento de Gestión Humana y la Dirección de Tecnología de la Información para la puesta en marcha del curso virtual </w:t>
      </w:r>
      <w:r w:rsidRPr="00BB53C0">
        <w:rPr>
          <w:rFonts w:ascii="Arial" w:eastAsia="Times New Roman" w:hAnsi="Arial" w:cs="Arial"/>
          <w:bCs/>
          <w:i/>
          <w:iCs/>
          <w:sz w:val="24"/>
          <w:szCs w:val="24"/>
          <w:lang w:val="es-ES" w:eastAsia="es-ES"/>
        </w:rPr>
        <w:t>“Seguridad de la Información y Seguridad informática”</w:t>
      </w:r>
      <w:r w:rsidRPr="00BB53C0">
        <w:rPr>
          <w:rFonts w:ascii="Arial" w:eastAsia="Times New Roman" w:hAnsi="Arial" w:cs="Arial"/>
          <w:bCs/>
          <w:sz w:val="24"/>
          <w:szCs w:val="24"/>
          <w:lang w:val="es-ES" w:eastAsia="es-ES"/>
        </w:rPr>
        <w:t xml:space="preserve">, como una de las capacitaciones de actualización y formación continua para las funcionarias y los funcionarios del Poder Judicial, así como </w:t>
      </w:r>
      <w:r w:rsidRPr="00BB53C0">
        <w:rPr>
          <w:rFonts w:ascii="Arial" w:eastAsia="Times New Roman" w:hAnsi="Arial" w:cs="Arial"/>
          <w:bCs/>
          <w:sz w:val="24"/>
          <w:szCs w:val="24"/>
          <w:lang w:val="es-ES" w:eastAsia="es-ES"/>
        </w:rPr>
        <w:lastRenderedPageBreak/>
        <w:t xml:space="preserve">los de nuevo ingreso, siendo que, el 17 de noviembre de 2020, el Departamento de Comunicación Organizacional informó que se encuentra disponible la matrícula para dicho curso. </w:t>
      </w:r>
    </w:p>
    <w:p w14:paraId="7AC74F67" w14:textId="77777777" w:rsidR="003513FD" w:rsidRPr="00BB53C0" w:rsidRDefault="003513FD" w:rsidP="003513FD">
      <w:pPr>
        <w:spacing w:after="0" w:line="360" w:lineRule="auto"/>
        <w:jc w:val="both"/>
        <w:rPr>
          <w:rFonts w:ascii="Arial" w:eastAsia="Times New Roman" w:hAnsi="Arial" w:cs="Arial"/>
          <w:bCs/>
          <w:sz w:val="24"/>
          <w:szCs w:val="24"/>
          <w:lang w:val="es-ES" w:eastAsia="es-ES"/>
        </w:rPr>
      </w:pPr>
    </w:p>
    <w:p w14:paraId="4B3E194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Cs/>
          <w:sz w:val="24"/>
          <w:szCs w:val="24"/>
          <w:lang w:val="es-ES" w:eastAsia="es-ES"/>
        </w:rPr>
        <w:t xml:space="preserve">Coordinación de </w:t>
      </w:r>
      <w:r w:rsidRPr="00BB53C0">
        <w:rPr>
          <w:rFonts w:ascii="Arial" w:eastAsia="Times New Roman" w:hAnsi="Arial" w:cs="Arial"/>
          <w:sz w:val="24"/>
          <w:szCs w:val="24"/>
          <w:lang w:val="es-ES" w:eastAsia="es-ES"/>
        </w:rPr>
        <w:t xml:space="preserve">entrega (en noviembre de 2020), a las señoras Magistradas y a los señores Magistrados de la Corte Suprema de Justicia, integrantes de la Comisión y otros funcionarios judiciales, de un sobre con documentación útil sobre prácticas que favorecen el resguardo de la información institucional contenida o transmitida a través de medios digitales o en formato físico. </w:t>
      </w:r>
    </w:p>
    <w:p w14:paraId="285BAFC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60722A1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Cs/>
          <w:sz w:val="24"/>
          <w:szCs w:val="24"/>
          <w:lang w:val="es-ES" w:eastAsia="es-ES"/>
        </w:rPr>
        <w:t xml:space="preserve">Coordinación de </w:t>
      </w:r>
      <w:r w:rsidRPr="00BB53C0">
        <w:rPr>
          <w:rFonts w:ascii="Arial" w:eastAsia="Times New Roman" w:hAnsi="Arial" w:cs="Arial"/>
          <w:sz w:val="24"/>
          <w:szCs w:val="24"/>
          <w:lang w:val="es-ES" w:eastAsia="es-ES"/>
        </w:rPr>
        <w:t>sesión de información y sensibilidad, realizada el 14 de diciembre de 2020, en presencia de las señoras Magistradas y los señores Magistrados sobre prácticas que favorecen el resguardo de la información institucional.</w:t>
      </w:r>
    </w:p>
    <w:p w14:paraId="16C6CB2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636C02C9"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eastAsia="es-CR"/>
        </w:rPr>
        <w:t xml:space="preserve">Coordinación de </w:t>
      </w:r>
      <w:r w:rsidRPr="00BB53C0">
        <w:rPr>
          <w:rFonts w:ascii="Arial" w:eastAsia="Times New Roman" w:hAnsi="Arial" w:cs="Arial"/>
          <w:sz w:val="24"/>
          <w:szCs w:val="24"/>
          <w:lang w:val="es-ES" w:eastAsia="es-ES"/>
        </w:rPr>
        <w:t xml:space="preserve">capacitación sobre Seguridad de la Información efectuada por funcionarios de Tecnología de la Información al personal de la Sala de Casación Penal (se organizó por grupos), realizada los días 1, 2, y 3 de diciembre del 2020.  </w:t>
      </w:r>
    </w:p>
    <w:p w14:paraId="41B3C9A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294B4C48" w14:textId="77777777" w:rsidR="003513FD" w:rsidRPr="00BB53C0" w:rsidRDefault="003513FD" w:rsidP="003513FD">
      <w:pPr>
        <w:spacing w:after="0" w:line="360" w:lineRule="auto"/>
        <w:ind w:firstLine="708"/>
        <w:jc w:val="both"/>
        <w:rPr>
          <w:rFonts w:ascii="Arial" w:eastAsia="Times New Roman" w:hAnsi="Arial" w:cs="Arial"/>
          <w:bCs/>
          <w:sz w:val="24"/>
          <w:szCs w:val="24"/>
          <w:lang w:val="es-ES" w:eastAsia="es-ES"/>
        </w:rPr>
      </w:pPr>
      <w:r w:rsidRPr="00BB53C0">
        <w:rPr>
          <w:rFonts w:ascii="Arial" w:eastAsia="Times New Roman" w:hAnsi="Arial" w:cs="Arial"/>
          <w:bCs/>
          <w:sz w:val="24"/>
          <w:szCs w:val="24"/>
          <w:lang w:val="es-ES" w:eastAsia="es-ES"/>
        </w:rPr>
        <w:t xml:space="preserve">Coordinación, en los meses de noviembre y diciembre de 2020, con el Departamento de Comunicación Organizacional, para el diseño de personas e historietas relacionados con el tema de la Seguridad de la Información Institucional para su posterior divulgación. </w:t>
      </w:r>
    </w:p>
    <w:p w14:paraId="48BA265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285ED78A" w14:textId="21161064" w:rsidR="003513FD" w:rsidRPr="00BB53C0" w:rsidRDefault="00606D7A" w:rsidP="003513FD">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 </w:t>
      </w:r>
    </w:p>
    <w:p w14:paraId="597F987B" w14:textId="0DAA3D4E" w:rsidR="003513FD" w:rsidRPr="00BB53C0" w:rsidRDefault="003513FD" w:rsidP="00606D7A">
      <w:pPr>
        <w:spacing w:after="160" w:line="360" w:lineRule="auto"/>
        <w:ind w:left="1065"/>
        <w:contextualSpacing/>
        <w:jc w:val="both"/>
        <w:rPr>
          <w:rFonts w:ascii="Arial" w:eastAsiaTheme="minorHAnsi" w:hAnsi="Arial" w:cs="Arial"/>
          <w:b/>
          <w:bCs/>
          <w:sz w:val="24"/>
          <w:szCs w:val="24"/>
          <w:u w:val="single"/>
          <w:lang w:val="es-ES"/>
        </w:rPr>
      </w:pPr>
      <w:r w:rsidRPr="00BB53C0">
        <w:rPr>
          <w:rFonts w:ascii="Arial" w:eastAsiaTheme="minorHAnsi" w:hAnsi="Arial" w:cs="Arial"/>
          <w:b/>
          <w:bCs/>
          <w:sz w:val="24"/>
          <w:szCs w:val="24"/>
          <w:u w:val="single"/>
          <w:lang w:val="es-ES"/>
        </w:rPr>
        <w:t xml:space="preserve">Ciberdelincuencia </w:t>
      </w:r>
    </w:p>
    <w:p w14:paraId="0F098E3D"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 Convocatorias a reunión y participación en reuniones </w:t>
      </w:r>
    </w:p>
    <w:p w14:paraId="7CA26EAE"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p>
    <w:p w14:paraId="7E7D161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rPr>
        <w:t xml:space="preserve">Las reuniones programadas en el año 2020 fueron </w:t>
      </w:r>
      <w:r w:rsidRPr="00BB53C0">
        <w:rPr>
          <w:rFonts w:ascii="Arial" w:eastAsia="Times New Roman" w:hAnsi="Arial" w:cs="Arial"/>
          <w:sz w:val="24"/>
          <w:szCs w:val="24"/>
          <w:lang w:val="es-ES" w:eastAsia="es-ES"/>
        </w:rPr>
        <w:t xml:space="preserve">virtuales debido a la pandemia por la COVID-19.  Cabe resaltar que cada una de las convocatorias fue comunicada con la debida antelación a los participantes. </w:t>
      </w:r>
    </w:p>
    <w:p w14:paraId="1FC4C35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5A861AB2"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lastRenderedPageBreak/>
        <w:t>Reunión N° 1</w:t>
      </w:r>
      <w:r w:rsidRPr="00BB53C0">
        <w:rPr>
          <w:rFonts w:ascii="Arial" w:eastAsia="Times New Roman" w:hAnsi="Arial" w:cs="Arial"/>
          <w:sz w:val="24"/>
          <w:szCs w:val="24"/>
          <w:lang w:val="es-ES"/>
        </w:rPr>
        <w:t>: En la primera audiencia del día 16 de setiembre de 2020.</w:t>
      </w:r>
    </w:p>
    <w:p w14:paraId="65BB0CCF"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53E73B7D"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Magistrada Sandra Eugenia Zúñiga Morales. </w:t>
      </w:r>
    </w:p>
    <w:p w14:paraId="68E1FF87"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Walter Espinoza Espinoza –Director del Organismo de Investigación Judicial. </w:t>
      </w:r>
    </w:p>
    <w:p w14:paraId="4114C512"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Erick Lewis Hernández –Jefe de la Sección Especializada contra el Cibercrimen del Organismo de Investigación Judicial</w:t>
      </w:r>
    </w:p>
    <w:p w14:paraId="54D91403"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Martín Hernández Serrano –Funcionario de Tecnología de la Información.</w:t>
      </w:r>
    </w:p>
    <w:p w14:paraId="26E19414"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Gezer Ramiro Molina Colomer –Funcionario de Tecnología de la Información. </w:t>
      </w:r>
    </w:p>
    <w:p w14:paraId="36FA86B4"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Ausentes con justificación: </w:t>
      </w:r>
    </w:p>
    <w:p w14:paraId="440E6D26"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Juan Carlos Cubillo Miranda –Fiscal Adjunto 3. Fiscalía General. </w:t>
      </w:r>
    </w:p>
    <w:p w14:paraId="787E28C3"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Kattia Morales Navarro –Directora de Tecnología de la Información. </w:t>
      </w:r>
      <w:r w:rsidRPr="00BB53C0">
        <w:rPr>
          <w:rFonts w:ascii="Arial" w:eastAsia="Times New Roman" w:hAnsi="Arial" w:cs="Arial"/>
          <w:sz w:val="24"/>
          <w:szCs w:val="24"/>
          <w:lang w:val="es-ES"/>
        </w:rPr>
        <w:tab/>
      </w:r>
    </w:p>
    <w:p w14:paraId="1AEEB881"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Invitados: </w:t>
      </w:r>
    </w:p>
    <w:p w14:paraId="5328E37C"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Sección Comunicación Organizacional.</w:t>
      </w:r>
    </w:p>
    <w:p w14:paraId="62ABF5D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Ana Lucía Vásquez Rivera –Jefa Sección Comunicación Organizacional. </w:t>
      </w:r>
    </w:p>
    <w:p w14:paraId="7A034B96"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Stephannie Phillips Asch –Sección Comunicación Organizacional.</w:t>
      </w:r>
    </w:p>
    <w:p w14:paraId="6B77BDD0"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Sección de Prensa.</w:t>
      </w:r>
    </w:p>
    <w:p w14:paraId="6BB9CC5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Erick Fernández Masís –Periodista Departamento de Prensa y Comunicación Organizacional. </w:t>
      </w:r>
    </w:p>
    <w:p w14:paraId="51E2436F"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eastAsia="es-ES"/>
        </w:rPr>
        <w:t>R</w:t>
      </w:r>
      <w:r w:rsidRPr="00BB53C0">
        <w:rPr>
          <w:rFonts w:ascii="Arial" w:eastAsia="Times New Roman" w:hAnsi="Arial" w:cs="Arial"/>
          <w:sz w:val="24"/>
          <w:szCs w:val="24"/>
          <w:lang w:val="es-ES"/>
        </w:rPr>
        <w:t>eunión con los integrantes de la Comisión para comunicar cada uno de los avances.</w:t>
      </w:r>
      <w:r w:rsidRPr="00BB53C0">
        <w:rPr>
          <w:rFonts w:ascii="Arial" w:eastAsia="Times New Roman" w:hAnsi="Arial" w:cs="Arial"/>
          <w:sz w:val="24"/>
          <w:szCs w:val="24"/>
          <w:lang w:val="es-ES" w:eastAsia="es-ES"/>
        </w:rPr>
        <w:t xml:space="preserve"> </w:t>
      </w:r>
      <w:r w:rsidRPr="00BB53C0">
        <w:rPr>
          <w:rFonts w:ascii="Arial" w:eastAsia="Times New Roman" w:hAnsi="Arial" w:cs="Arial"/>
          <w:sz w:val="24"/>
          <w:szCs w:val="24"/>
          <w:lang w:val="es-ES"/>
        </w:rPr>
        <w:t xml:space="preserve">Se conversó sobre la importancia de comenzar a trabajar en la Ficha Técnica en materia de Ciberdelincuencia. </w:t>
      </w:r>
    </w:p>
    <w:p w14:paraId="7041DAF4" w14:textId="77777777" w:rsidR="003513FD" w:rsidRPr="00BB53C0" w:rsidRDefault="003513FD" w:rsidP="003513FD">
      <w:pPr>
        <w:spacing w:after="0" w:line="360" w:lineRule="auto"/>
        <w:ind w:left="357" w:firstLine="708"/>
        <w:jc w:val="both"/>
        <w:rPr>
          <w:rFonts w:ascii="Arial" w:eastAsia="Times New Roman" w:hAnsi="Arial" w:cs="Arial"/>
          <w:sz w:val="24"/>
          <w:szCs w:val="24"/>
          <w:lang w:val="es-ES"/>
        </w:rPr>
      </w:pPr>
    </w:p>
    <w:p w14:paraId="2979B67B"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2</w:t>
      </w:r>
      <w:r w:rsidRPr="00BB53C0">
        <w:rPr>
          <w:rFonts w:ascii="Arial" w:eastAsia="Times New Roman" w:hAnsi="Arial" w:cs="Arial"/>
          <w:sz w:val="24"/>
          <w:szCs w:val="24"/>
          <w:lang w:val="es-ES"/>
        </w:rPr>
        <w:t>: En la segunda audiencia del día 10 de noviembre de 2020.</w:t>
      </w:r>
    </w:p>
    <w:p w14:paraId="3D5A5FA1" w14:textId="77777777" w:rsidR="003513FD" w:rsidRPr="00BB53C0" w:rsidRDefault="003513FD" w:rsidP="003513FD">
      <w:pPr>
        <w:spacing w:after="0" w:line="360" w:lineRule="auto"/>
        <w:jc w:val="both"/>
        <w:rPr>
          <w:rFonts w:ascii="Arial" w:eastAsia="Times New Roman" w:hAnsi="Arial" w:cs="Arial"/>
          <w:sz w:val="24"/>
          <w:szCs w:val="24"/>
          <w:u w:val="single"/>
          <w:lang w:val="es-ES"/>
        </w:rPr>
      </w:pPr>
      <w:r w:rsidRPr="00BB53C0">
        <w:rPr>
          <w:rFonts w:ascii="Arial" w:eastAsia="Times New Roman" w:hAnsi="Arial" w:cs="Arial"/>
          <w:sz w:val="24"/>
          <w:szCs w:val="24"/>
          <w:u w:val="single"/>
          <w:lang w:val="es-ES"/>
        </w:rPr>
        <w:t xml:space="preserve">Asistentes: </w:t>
      </w:r>
    </w:p>
    <w:p w14:paraId="4F138040"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3A2BEC25"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Miguel Ramírez López –Fiscal Adjunto de la Fiscalía Adjunta de Fraudes y Cibercrimen </w:t>
      </w:r>
    </w:p>
    <w:p w14:paraId="420F1990"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Erick Lewis Hernández –Jefe de la Sección Especializada contra el Cibercrimen del Organismo de Investigación Judicial. </w:t>
      </w:r>
    </w:p>
    <w:p w14:paraId="58548626"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Frank Harbottle Quirós –Letrado de la Sala de Casación Penal.</w:t>
      </w:r>
    </w:p>
    <w:p w14:paraId="3DAB3BAB" w14:textId="77777777" w:rsidR="003513FD" w:rsidRPr="00BB53C0" w:rsidRDefault="003513FD" w:rsidP="003513FD">
      <w:pPr>
        <w:spacing w:after="0" w:line="360" w:lineRule="auto"/>
        <w:ind w:firstLine="708"/>
        <w:jc w:val="both"/>
        <w:rPr>
          <w:rFonts w:ascii="Arial" w:eastAsia="Times New Roman" w:hAnsi="Arial" w:cs="Arial"/>
          <w:i/>
          <w:iCs/>
          <w:color w:val="201F1E"/>
          <w:sz w:val="24"/>
          <w:szCs w:val="24"/>
          <w:bdr w:val="none" w:sz="0" w:space="0" w:color="auto" w:frame="1"/>
          <w:shd w:val="clear" w:color="auto" w:fill="FFFFFF"/>
          <w:lang w:val="es-ES" w:eastAsia="es-CR"/>
        </w:rPr>
      </w:pPr>
      <w:r w:rsidRPr="00BB53C0">
        <w:rPr>
          <w:rFonts w:ascii="Arial" w:eastAsia="Times New Roman" w:hAnsi="Arial" w:cs="Arial"/>
          <w:sz w:val="24"/>
          <w:szCs w:val="24"/>
          <w:lang w:val="es-ES"/>
        </w:rPr>
        <w:lastRenderedPageBreak/>
        <w:t xml:space="preserve">Reunión sostenida con los señores Miguel Ramírez López y Erick Lewis Hernández. Se coordinó el diseño de un borrador de la </w:t>
      </w:r>
      <w:r w:rsidRPr="00BB53C0">
        <w:rPr>
          <w:rFonts w:ascii="Arial" w:eastAsia="Times New Roman" w:hAnsi="Arial" w:cs="Arial"/>
          <w:bCs/>
          <w:i/>
          <w:iCs/>
          <w:sz w:val="24"/>
          <w:szCs w:val="24"/>
          <w:lang w:val="es-ES" w:eastAsia="es-ES"/>
        </w:rPr>
        <w:t>“Ficha técnica para las iniciativas de Ciberdelincuencia en el Poder Judicial”</w:t>
      </w:r>
      <w:r w:rsidRPr="00BB53C0">
        <w:rPr>
          <w:rFonts w:ascii="Arial" w:eastAsia="Times New Roman" w:hAnsi="Arial" w:cs="Arial"/>
          <w:bCs/>
          <w:sz w:val="24"/>
          <w:szCs w:val="24"/>
          <w:lang w:val="es-ES" w:eastAsia="es-ES"/>
        </w:rPr>
        <w:t xml:space="preserve">. </w:t>
      </w:r>
    </w:p>
    <w:p w14:paraId="6D1CDD1E" w14:textId="77777777" w:rsidR="003513FD" w:rsidRPr="00BB53C0" w:rsidRDefault="003513FD" w:rsidP="003513FD">
      <w:pPr>
        <w:spacing w:after="0" w:line="360" w:lineRule="auto"/>
        <w:ind w:left="357" w:firstLine="708"/>
        <w:jc w:val="both"/>
        <w:rPr>
          <w:rFonts w:ascii="Arial" w:eastAsia="Times New Roman" w:hAnsi="Arial" w:cs="Arial"/>
          <w:sz w:val="24"/>
          <w:szCs w:val="24"/>
          <w:lang w:val="es-ES"/>
        </w:rPr>
      </w:pPr>
    </w:p>
    <w:p w14:paraId="075BCB7A"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3</w:t>
      </w:r>
      <w:r w:rsidRPr="00BB53C0">
        <w:rPr>
          <w:rFonts w:ascii="Arial" w:eastAsia="Times New Roman" w:hAnsi="Arial" w:cs="Arial"/>
          <w:sz w:val="24"/>
          <w:szCs w:val="24"/>
          <w:lang w:val="es-ES"/>
        </w:rPr>
        <w:t>: En la segunda audiencia del día 17 de noviembre de 2020.</w:t>
      </w:r>
    </w:p>
    <w:p w14:paraId="6799B94C"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u w:val="single"/>
          <w:lang w:val="es-ES"/>
        </w:rPr>
        <w:t>Asistentes</w:t>
      </w:r>
      <w:r w:rsidRPr="00BB53C0">
        <w:rPr>
          <w:rFonts w:ascii="Arial" w:eastAsia="Times New Roman" w:hAnsi="Arial" w:cs="Arial"/>
          <w:sz w:val="24"/>
          <w:szCs w:val="24"/>
          <w:lang w:val="es-ES"/>
        </w:rPr>
        <w:t xml:space="preserve">: </w:t>
      </w:r>
    </w:p>
    <w:p w14:paraId="0F66785F"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Magistrada Sandra Eugenia Zúñiga Morales.</w:t>
      </w:r>
    </w:p>
    <w:p w14:paraId="69248D3B"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Miguel Ramírez López –Fiscal Adjunto de la Fiscalía Adjunta de Fraudes y Cibercrimen </w:t>
      </w:r>
    </w:p>
    <w:p w14:paraId="3A4AFD8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Erick Lewis Hernández –Jefe de la Sección Especializada contra el Cibercrimen del Organismo de Investigación Judicial. </w:t>
      </w:r>
    </w:p>
    <w:p w14:paraId="69ED0FDD"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Frank Harbottle Quirós –Letrado de la Sala de Casación Penal.</w:t>
      </w:r>
    </w:p>
    <w:p w14:paraId="468679BC" w14:textId="77777777" w:rsidR="003513FD" w:rsidRPr="00BB53C0" w:rsidRDefault="003513FD" w:rsidP="003513FD">
      <w:pPr>
        <w:spacing w:after="0" w:line="360" w:lineRule="auto"/>
        <w:ind w:firstLine="357"/>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Reunión convocada para coordinar aspectos puntuales del contenido del borrador de la </w:t>
      </w:r>
      <w:r w:rsidRPr="00BB53C0">
        <w:rPr>
          <w:rFonts w:ascii="Arial" w:eastAsia="Times New Roman" w:hAnsi="Arial" w:cs="Arial"/>
          <w:bCs/>
          <w:i/>
          <w:iCs/>
          <w:sz w:val="24"/>
          <w:szCs w:val="24"/>
          <w:lang w:val="es-ES" w:eastAsia="es-ES"/>
        </w:rPr>
        <w:t>“Ficha técnica para las iniciativas de Ciberdelincuencia en el Poder Judicial”</w:t>
      </w:r>
      <w:r w:rsidRPr="00BB53C0">
        <w:rPr>
          <w:rFonts w:ascii="Arial" w:eastAsia="Times New Roman" w:hAnsi="Arial" w:cs="Arial"/>
          <w:bCs/>
          <w:sz w:val="24"/>
          <w:szCs w:val="24"/>
          <w:lang w:val="es-ES" w:eastAsia="es-ES"/>
        </w:rPr>
        <w:t>.</w:t>
      </w:r>
    </w:p>
    <w:p w14:paraId="2FF90314"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p>
    <w:p w14:paraId="7EF7F1AD"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b. Redacción de oficios</w:t>
      </w:r>
    </w:p>
    <w:p w14:paraId="08FF6AC5"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p>
    <w:p w14:paraId="49AFB0D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C-CDCS/03-2020</w:t>
      </w:r>
      <w:r w:rsidRPr="00BB53C0">
        <w:rPr>
          <w:rFonts w:ascii="Arial" w:eastAsia="Times New Roman" w:hAnsi="Arial" w:cs="Arial"/>
          <w:sz w:val="24"/>
          <w:szCs w:val="24"/>
          <w:lang w:val="es-ES" w:eastAsia="es-ES"/>
        </w:rPr>
        <w:t xml:space="preserve">, del 8 de setiembre de 2020, dirigido a la Directora de la Escuela Judicial en el que se le solicita para que autorice a un funcionario del Área de Servicios Técnicos para que elabore una propuesta de Imagotipo para la Comisión de Ciberseguridad y Ciberdelincuencia. </w:t>
      </w:r>
    </w:p>
    <w:p w14:paraId="7420784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1CB2466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C-CDCS/04-2020</w:t>
      </w:r>
      <w:r w:rsidRPr="00BB53C0">
        <w:rPr>
          <w:rFonts w:ascii="Arial" w:eastAsia="Times New Roman" w:hAnsi="Arial" w:cs="Arial"/>
          <w:sz w:val="24"/>
          <w:szCs w:val="24"/>
          <w:lang w:val="es-ES" w:eastAsia="es-ES"/>
        </w:rPr>
        <w:t xml:space="preserve">, con fecha 15 de octubre de 2020, dirigido a la Secretaria General de la Corte Suprema de Justicia, el cual da respuesta al oficio Nº 7890-2020, que se relaciona con lo dispuesto por la Corte Plena en la sesión N° 42-2020 celebrada el 20 de julio de los corrientes, artículo XVI, en el que se solicita que cada una de las Comisiones existentes en la actualidad, informen a la Corte sobre su efectiva vigencia, así como de la necesidad de continuar operando en atención al cumplimiento de los fines que orientaron su creación. </w:t>
      </w:r>
    </w:p>
    <w:p w14:paraId="7E42DF4F"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p>
    <w:p w14:paraId="667DE55D"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lastRenderedPageBreak/>
        <w:t>Oficio N° C-CDCS/07-2020</w:t>
      </w:r>
      <w:r w:rsidRPr="00BB53C0">
        <w:rPr>
          <w:rFonts w:ascii="Arial" w:eastAsia="Times New Roman" w:hAnsi="Arial" w:cs="Arial"/>
          <w:sz w:val="24"/>
          <w:szCs w:val="24"/>
          <w:lang w:val="es-ES" w:eastAsia="es-ES"/>
        </w:rPr>
        <w:t>, del 5 de noviembre de 2020, dirigido a los integrantes de la Comisión de Ciberseguridad y Ciberdelincuencia con propuestas de logos para su conocimiento y valoración. </w:t>
      </w:r>
    </w:p>
    <w:p w14:paraId="06D510C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36F27784" w14:textId="77777777" w:rsidR="003513FD" w:rsidRPr="00BB53C0" w:rsidRDefault="003513FD" w:rsidP="003513FD">
      <w:pPr>
        <w:spacing w:after="0" w:line="360" w:lineRule="auto"/>
        <w:ind w:firstLine="708"/>
        <w:jc w:val="both"/>
        <w:rPr>
          <w:rFonts w:ascii="Arial" w:eastAsia="Times New Roman" w:hAnsi="Arial" w:cs="Arial"/>
          <w:color w:val="000000"/>
          <w:sz w:val="24"/>
          <w:szCs w:val="24"/>
          <w:lang w:val="es-ES" w:eastAsia="es-ES"/>
        </w:rPr>
      </w:pPr>
      <w:r w:rsidRPr="00BB53C0">
        <w:rPr>
          <w:rFonts w:ascii="Arial" w:eastAsia="Times New Roman" w:hAnsi="Arial" w:cs="Arial"/>
          <w:b/>
          <w:bCs/>
          <w:sz w:val="24"/>
          <w:szCs w:val="24"/>
          <w:lang w:val="es-ES" w:eastAsia="es-ES"/>
        </w:rPr>
        <w:t>Oficio N° C-CDCS/39-2020</w:t>
      </w:r>
      <w:r w:rsidRPr="00BB53C0">
        <w:rPr>
          <w:rFonts w:ascii="Arial" w:eastAsia="Times New Roman" w:hAnsi="Arial" w:cs="Arial"/>
          <w:sz w:val="24"/>
          <w:szCs w:val="24"/>
          <w:lang w:val="es-ES" w:eastAsia="es-ES"/>
        </w:rPr>
        <w:t xml:space="preserve">, del 18 de noviembre de 2020, dirigido al Consejo Superior en el que se le solicita </w:t>
      </w:r>
      <w:r w:rsidRPr="00BB53C0">
        <w:rPr>
          <w:rFonts w:ascii="Arial" w:eastAsiaTheme="minorHAnsi" w:hAnsi="Arial" w:cs="Arial"/>
          <w:sz w:val="24"/>
          <w:szCs w:val="24"/>
          <w:lang w:val="es-ES" w:eastAsia="es-ES"/>
        </w:rPr>
        <w:t>interponer</w:t>
      </w:r>
      <w:r w:rsidRPr="00BB53C0">
        <w:rPr>
          <w:rFonts w:ascii="Arial" w:eastAsia="Times New Roman" w:hAnsi="Arial" w:cs="Arial"/>
          <w:color w:val="000000"/>
          <w:sz w:val="24"/>
          <w:szCs w:val="24"/>
          <w:lang w:val="es-ES" w:eastAsia="es-ES"/>
        </w:rPr>
        <w:t xml:space="preserve"> sus buenos oficios para que la Dirección Jurídica del Poder Judicial, proceda con el trámite de inscripción del </w:t>
      </w:r>
      <w:r w:rsidRPr="00BB53C0">
        <w:rPr>
          <w:rFonts w:ascii="Arial" w:eastAsia="Times New Roman" w:hAnsi="Arial" w:cs="Arial"/>
          <w:sz w:val="24"/>
          <w:szCs w:val="24"/>
          <w:lang w:val="es-ES" w:eastAsia="es-ES"/>
        </w:rPr>
        <w:t>Imagotipo</w:t>
      </w:r>
      <w:r w:rsidRPr="00BB53C0">
        <w:rPr>
          <w:rFonts w:ascii="Arial" w:eastAsia="Times New Roman" w:hAnsi="Arial" w:cs="Arial"/>
          <w:color w:val="000000"/>
          <w:sz w:val="24"/>
          <w:szCs w:val="24"/>
          <w:lang w:val="es-ES" w:eastAsia="es-ES"/>
        </w:rPr>
        <w:t xml:space="preserve"> aprobado por la </w:t>
      </w:r>
      <w:r w:rsidRPr="00BB53C0">
        <w:rPr>
          <w:rFonts w:ascii="Arial" w:eastAsia="Times New Roman" w:hAnsi="Arial" w:cs="Arial"/>
          <w:sz w:val="24"/>
          <w:szCs w:val="24"/>
          <w:lang w:val="es-ES" w:eastAsia="es-ES"/>
        </w:rPr>
        <w:t>Comisión de Ciberseguridad y Ciberdelincuencia</w:t>
      </w:r>
      <w:r w:rsidRPr="00BB53C0">
        <w:rPr>
          <w:rFonts w:ascii="Arial" w:eastAsia="Times New Roman" w:hAnsi="Arial" w:cs="Arial"/>
          <w:color w:val="000000"/>
          <w:sz w:val="24"/>
          <w:szCs w:val="24"/>
          <w:lang w:val="es-ES" w:eastAsia="es-ES"/>
        </w:rPr>
        <w:t xml:space="preserve">. </w:t>
      </w:r>
    </w:p>
    <w:p w14:paraId="0EDFE423"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3E3FDCBF"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 Redacción de otros documentos</w:t>
      </w:r>
    </w:p>
    <w:p w14:paraId="3304508C" w14:textId="77777777" w:rsidR="003513FD" w:rsidRPr="00BB53C0" w:rsidRDefault="003513FD" w:rsidP="003513FD">
      <w:pPr>
        <w:spacing w:after="0" w:line="360" w:lineRule="auto"/>
        <w:ind w:left="357" w:firstLine="708"/>
        <w:rPr>
          <w:rFonts w:ascii="Arial" w:eastAsia="Times New Roman" w:hAnsi="Arial" w:cs="Arial"/>
          <w:sz w:val="24"/>
          <w:szCs w:val="24"/>
          <w:lang w:val="es-ES" w:eastAsia="es-ES"/>
        </w:rPr>
      </w:pPr>
    </w:p>
    <w:p w14:paraId="4792D770" w14:textId="77777777" w:rsidR="003513FD" w:rsidRPr="00BB53C0" w:rsidRDefault="003513FD" w:rsidP="003513FD">
      <w:pPr>
        <w:spacing w:after="0" w:line="360" w:lineRule="auto"/>
        <w:ind w:left="357"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Diseño, en los meses de noviembre y diciembre de 2020, de un borrador de la </w:t>
      </w:r>
      <w:r w:rsidRPr="00BB53C0">
        <w:rPr>
          <w:rFonts w:ascii="Arial" w:eastAsia="Times New Roman" w:hAnsi="Arial" w:cs="Arial"/>
          <w:i/>
          <w:iCs/>
          <w:sz w:val="24"/>
          <w:szCs w:val="24"/>
          <w:lang w:val="es-ES" w:eastAsia="es-ES"/>
        </w:rPr>
        <w:t>“Ficha técnica para las iniciativas de Ciberdelincuencia en el Poder Judicial”</w:t>
      </w:r>
      <w:r w:rsidRPr="00BB53C0">
        <w:rPr>
          <w:rFonts w:ascii="Arial" w:eastAsia="Times New Roman" w:hAnsi="Arial" w:cs="Arial"/>
          <w:sz w:val="24"/>
          <w:szCs w:val="24"/>
          <w:lang w:val="es-ES" w:eastAsia="es-ES"/>
        </w:rPr>
        <w:t xml:space="preserve">. </w:t>
      </w:r>
    </w:p>
    <w:p w14:paraId="675FAF96"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5CE00DC5" w14:textId="77777777" w:rsidR="003513FD" w:rsidRPr="00BB53C0" w:rsidRDefault="003513FD" w:rsidP="00C10ACE">
      <w:pPr>
        <w:numPr>
          <w:ilvl w:val="0"/>
          <w:numId w:val="3"/>
        </w:numPr>
        <w:spacing w:after="160" w:line="360" w:lineRule="auto"/>
        <w:contextualSpacing/>
        <w:rPr>
          <w:rFonts w:ascii="Arial" w:eastAsiaTheme="minorHAnsi" w:hAnsi="Arial" w:cs="Arial"/>
          <w:sz w:val="24"/>
          <w:szCs w:val="24"/>
          <w:lang w:val="es-ES"/>
        </w:rPr>
      </w:pPr>
      <w:r w:rsidRPr="00BB53C0">
        <w:rPr>
          <w:rFonts w:ascii="Arial" w:eastAsiaTheme="minorHAnsi" w:hAnsi="Arial" w:cs="Arial"/>
          <w:sz w:val="24"/>
          <w:szCs w:val="24"/>
          <w:lang w:val="es-ES"/>
        </w:rPr>
        <w:t>Coordinación de actividades</w:t>
      </w:r>
    </w:p>
    <w:p w14:paraId="1A7D1736"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Durante el año 2020, desde la Subcomisión de Delincuencia Organizada, se coordinó el diseño del curso </w:t>
      </w:r>
      <w:r w:rsidRPr="00BB53C0">
        <w:rPr>
          <w:rFonts w:ascii="Arial" w:eastAsia="Times New Roman" w:hAnsi="Arial" w:cs="Arial"/>
          <w:i/>
          <w:iCs/>
          <w:sz w:val="24"/>
          <w:szCs w:val="24"/>
          <w:lang w:val="es-ES"/>
        </w:rPr>
        <w:t>"Ciber delincuencia en el mundo globalizado, retos para la administración de la justicia penal"</w:t>
      </w:r>
      <w:r w:rsidRPr="00BB53C0">
        <w:rPr>
          <w:rFonts w:ascii="Arial" w:eastAsia="Times New Roman" w:hAnsi="Arial" w:cs="Arial"/>
          <w:sz w:val="24"/>
          <w:szCs w:val="24"/>
          <w:lang w:val="es-ES"/>
        </w:rPr>
        <w:t xml:space="preserve">, capacitación impartida (bajo la modalidad virtual), en los meses de julio y agosto, por el señor Alfredo Chirino Sánchez, como parte del </w:t>
      </w:r>
      <w:r w:rsidRPr="00BB53C0">
        <w:rPr>
          <w:rFonts w:ascii="Arial" w:eastAsia="Times New Roman" w:hAnsi="Arial" w:cs="Arial"/>
          <w:i/>
          <w:iCs/>
          <w:sz w:val="24"/>
          <w:szCs w:val="24"/>
          <w:lang w:val="es-ES"/>
        </w:rPr>
        <w:t>“Proyecto Corte/FIU Fortalecimiento de la Respuesta Judicial ante la Delincuencia Organizada de Costa Rica”</w:t>
      </w:r>
      <w:r w:rsidRPr="00BB53C0">
        <w:rPr>
          <w:rFonts w:ascii="Arial" w:eastAsia="Times New Roman" w:hAnsi="Arial" w:cs="Arial"/>
          <w:sz w:val="24"/>
          <w:szCs w:val="24"/>
          <w:lang w:val="es-ES"/>
        </w:rPr>
        <w:t xml:space="preserve">. En esta capacitación participaron personas juzgadoras, personal de la Defensa Pública, del Ministerio Público y de la Policía Judicial. </w:t>
      </w:r>
    </w:p>
    <w:p w14:paraId="4BF02186"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p>
    <w:p w14:paraId="5642E047"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Se ha coordinado con el Departamento de Prensa y Comunicación Organizacional, como parte de una Campaña, divulgar información para que el personal judicial tome conciencia de la importancia de evitar ser víctimas de daño o pérdida de información sensible y de ataques por la ciberdelincuencia. </w:t>
      </w:r>
    </w:p>
    <w:p w14:paraId="5EA2F263"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2C399DB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rPr>
        <w:t xml:space="preserve">Coordinación, en los meses de noviembre y diciembre de 2020, del diseño </w:t>
      </w:r>
      <w:r w:rsidRPr="00BB53C0">
        <w:rPr>
          <w:rFonts w:ascii="Arial" w:eastAsia="Times New Roman" w:hAnsi="Arial" w:cs="Arial"/>
          <w:sz w:val="24"/>
          <w:szCs w:val="24"/>
          <w:lang w:val="es-ES" w:eastAsia="es-ES"/>
        </w:rPr>
        <w:t xml:space="preserve">de un borrador de la </w:t>
      </w:r>
      <w:r w:rsidRPr="00BB53C0">
        <w:rPr>
          <w:rFonts w:ascii="Arial" w:eastAsia="Times New Roman" w:hAnsi="Arial" w:cs="Arial"/>
          <w:i/>
          <w:iCs/>
          <w:sz w:val="24"/>
          <w:szCs w:val="24"/>
          <w:lang w:val="es-ES" w:eastAsia="es-ES"/>
        </w:rPr>
        <w:t>“Ficha técnica para las iniciativas de Ciberdelincuencia en el Poder Judicial”</w:t>
      </w:r>
      <w:r w:rsidRPr="00BB53C0">
        <w:rPr>
          <w:rFonts w:ascii="Arial" w:eastAsia="Times New Roman" w:hAnsi="Arial" w:cs="Arial"/>
          <w:sz w:val="24"/>
          <w:szCs w:val="24"/>
          <w:lang w:val="es-ES" w:eastAsia="es-ES"/>
        </w:rPr>
        <w:t xml:space="preserve">. </w:t>
      </w:r>
    </w:p>
    <w:p w14:paraId="3963BEC9" w14:textId="77777777" w:rsidR="003513FD" w:rsidRPr="00BB53C0" w:rsidRDefault="003513FD" w:rsidP="003513FD">
      <w:pPr>
        <w:spacing w:after="0" w:line="360" w:lineRule="auto"/>
        <w:rPr>
          <w:rFonts w:ascii="Arial" w:eastAsia="Times New Roman" w:hAnsi="Arial" w:cs="Arial"/>
          <w:sz w:val="24"/>
          <w:szCs w:val="24"/>
          <w:lang w:val="es-ES"/>
        </w:rPr>
      </w:pPr>
    </w:p>
    <w:p w14:paraId="429AE7EE" w14:textId="019D3483" w:rsidR="003513FD" w:rsidRPr="00BB53C0" w:rsidRDefault="00DF2AA7" w:rsidP="00606D7A">
      <w:pPr>
        <w:spacing w:after="0" w:line="360" w:lineRule="auto"/>
        <w:ind w:left="992"/>
        <w:contextualSpacing/>
        <w:rPr>
          <w:rFonts w:ascii="Arial" w:eastAsiaTheme="minorHAnsi" w:hAnsi="Arial" w:cs="Arial"/>
          <w:b/>
          <w:bCs/>
          <w:sz w:val="24"/>
          <w:szCs w:val="24"/>
          <w:u w:val="single"/>
          <w:lang w:val="es-ES"/>
        </w:rPr>
      </w:pPr>
      <w:r>
        <w:rPr>
          <w:rFonts w:ascii="Arial" w:eastAsiaTheme="minorHAnsi" w:hAnsi="Arial" w:cs="Arial"/>
          <w:b/>
          <w:bCs/>
          <w:sz w:val="24"/>
          <w:szCs w:val="24"/>
          <w:u w:val="single"/>
          <w:lang w:val="es-ES"/>
        </w:rPr>
        <w:t>7</w:t>
      </w:r>
      <w:r w:rsidR="00606D7A">
        <w:rPr>
          <w:rFonts w:ascii="Arial" w:eastAsiaTheme="minorHAnsi" w:hAnsi="Arial" w:cs="Arial"/>
          <w:b/>
          <w:bCs/>
          <w:sz w:val="24"/>
          <w:szCs w:val="24"/>
          <w:u w:val="single"/>
          <w:lang w:val="es-ES"/>
        </w:rPr>
        <w:t xml:space="preserve"> - </w:t>
      </w:r>
      <w:r w:rsidR="003513FD" w:rsidRPr="00BB53C0">
        <w:rPr>
          <w:rFonts w:ascii="Arial" w:eastAsiaTheme="minorHAnsi" w:hAnsi="Arial" w:cs="Arial"/>
          <w:b/>
          <w:bCs/>
          <w:sz w:val="24"/>
          <w:szCs w:val="24"/>
          <w:u w:val="single"/>
          <w:lang w:val="es-ES"/>
        </w:rPr>
        <w:t>Subcomisión de Acceso a la Justicia para Personas Privadas de libertad.</w:t>
      </w:r>
    </w:p>
    <w:p w14:paraId="4BC0772B"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31A88111" w14:textId="77777777" w:rsidR="003513FD" w:rsidRPr="00BB53C0" w:rsidRDefault="003513FD" w:rsidP="00C10ACE">
      <w:pPr>
        <w:numPr>
          <w:ilvl w:val="0"/>
          <w:numId w:val="9"/>
        </w:numPr>
        <w:spacing w:after="160" w:line="360" w:lineRule="auto"/>
        <w:contextualSpacing/>
        <w:rPr>
          <w:rFonts w:ascii="Arial" w:eastAsiaTheme="minorHAnsi" w:hAnsi="Arial" w:cs="Arial"/>
          <w:sz w:val="24"/>
          <w:szCs w:val="24"/>
          <w:lang w:val="es-ES"/>
        </w:rPr>
      </w:pPr>
      <w:r w:rsidRPr="00BB53C0">
        <w:rPr>
          <w:rFonts w:ascii="Arial" w:eastAsiaTheme="minorHAnsi" w:hAnsi="Arial" w:cs="Arial"/>
          <w:sz w:val="24"/>
          <w:szCs w:val="24"/>
          <w:lang w:val="es-ES"/>
        </w:rPr>
        <w:t xml:space="preserve">Convocatorias a reunión y participación en reuniones: </w:t>
      </w:r>
    </w:p>
    <w:p w14:paraId="286C37DA" w14:textId="77777777" w:rsidR="003513FD" w:rsidRPr="00BB53C0" w:rsidRDefault="003513FD" w:rsidP="003513FD">
      <w:pPr>
        <w:spacing w:after="0" w:line="360" w:lineRule="auto"/>
        <w:ind w:firstLine="708"/>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Durante el año 2020, en virtud de la emergencia sanitaria por el Covid 19, las reuniones se realizaron de manera virtual, a través de la plataforma tecnológica Teams. </w:t>
      </w:r>
    </w:p>
    <w:p w14:paraId="5AA77565"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654F7D4E" w14:textId="77777777" w:rsidR="003513FD" w:rsidRPr="00BB53C0" w:rsidRDefault="003513FD" w:rsidP="003513FD">
      <w:pPr>
        <w:spacing w:after="0" w:line="360" w:lineRule="auto"/>
        <w:ind w:firstLine="360"/>
        <w:jc w:val="both"/>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Reunión N° 1:</w:t>
      </w:r>
      <w:r w:rsidRPr="00BB53C0">
        <w:rPr>
          <w:rFonts w:ascii="Arial" w:eastAsia="Times New Roman" w:hAnsi="Arial" w:cs="Arial"/>
          <w:sz w:val="24"/>
          <w:szCs w:val="24"/>
          <w:lang w:val="es-ES" w:eastAsia="es-ES"/>
        </w:rPr>
        <w:t xml:space="preserve"> En la primera audiencia del día 24 de abril </w:t>
      </w:r>
    </w:p>
    <w:p w14:paraId="3586FC78" w14:textId="77777777" w:rsidR="003513FD" w:rsidRPr="00BB53C0" w:rsidRDefault="003513FD" w:rsidP="003513FD">
      <w:pPr>
        <w:spacing w:after="0" w:line="360" w:lineRule="auto"/>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169046FC"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Eugenia Zúñiga Morales. </w:t>
      </w:r>
    </w:p>
    <w:p w14:paraId="37FFFEA6"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Carlo Díaz Sánchez – representa a la Fiscalía General.</w:t>
      </w:r>
    </w:p>
    <w:p w14:paraId="72D8FC9F"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Licda. Diana Montero Montero – Jefa de la Defensa Pública a.i.</w:t>
      </w:r>
    </w:p>
    <w:p w14:paraId="09604332"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 Gerald Campos Valverde – Subdirector General del OIJ </w:t>
      </w:r>
    </w:p>
    <w:p w14:paraId="4CFE8A2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Licda. Angie Calderón Chaves – Secretaría Género y Acceso a la Justicia </w:t>
      </w:r>
    </w:p>
    <w:p w14:paraId="5C064AA9"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Licda. Laura Marcela Arias Guillén – Ejecución de la Pena de la DP.</w:t>
      </w:r>
    </w:p>
    <w:p w14:paraId="786B2F7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Licda. Melissa Benavides Víquez – Acceso a la Justicia </w:t>
      </w:r>
    </w:p>
    <w:p w14:paraId="43084ADC" w14:textId="77777777" w:rsidR="003513FD" w:rsidRPr="00BB53C0" w:rsidRDefault="003513FD" w:rsidP="003513FD">
      <w:pPr>
        <w:spacing w:after="0" w:line="360" w:lineRule="auto"/>
        <w:jc w:val="both"/>
        <w:rPr>
          <w:rFonts w:ascii="Arial" w:eastAsia="Times New Roman" w:hAnsi="Arial" w:cs="Arial"/>
          <w:b/>
          <w:bCs/>
          <w:sz w:val="24"/>
          <w:szCs w:val="24"/>
          <w:lang w:val="es-ES" w:eastAsia="es-ES"/>
        </w:rPr>
      </w:pPr>
    </w:p>
    <w:p w14:paraId="302CABF8" w14:textId="77777777" w:rsidR="003513FD" w:rsidRPr="00BB53C0" w:rsidRDefault="003513FD" w:rsidP="003513FD">
      <w:pPr>
        <w:spacing w:after="0" w:line="360" w:lineRule="auto"/>
        <w:ind w:firstLine="708"/>
        <w:jc w:val="both"/>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Reunión N° 2</w:t>
      </w:r>
      <w:r w:rsidRPr="00BB53C0">
        <w:rPr>
          <w:rFonts w:ascii="Arial" w:eastAsia="Times New Roman" w:hAnsi="Arial" w:cs="Arial"/>
          <w:sz w:val="24"/>
          <w:szCs w:val="24"/>
          <w:lang w:val="es-ES" w:eastAsia="es-ES"/>
        </w:rPr>
        <w:t xml:space="preserve">: En la segunda audiencia del día 24 de abril </w:t>
      </w:r>
    </w:p>
    <w:p w14:paraId="3CCE1EF6" w14:textId="77777777" w:rsidR="003513FD" w:rsidRPr="00BB53C0" w:rsidRDefault="003513FD" w:rsidP="003513FD">
      <w:pPr>
        <w:spacing w:after="0" w:line="360" w:lineRule="auto"/>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4A86A35A"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Eugenia Zúñiga Morales. </w:t>
      </w:r>
    </w:p>
    <w:p w14:paraId="2A35815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Carlo Díaz Sánchez – representa a la Fiscalía General.</w:t>
      </w:r>
    </w:p>
    <w:p w14:paraId="61AF0785"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Licda. Diana Montero Montero – Jefa de la Defensa Pública a.i.</w:t>
      </w:r>
    </w:p>
    <w:p w14:paraId="12C0664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 Gerald Campos Valverde – Subdirector General del OIJ </w:t>
      </w:r>
    </w:p>
    <w:p w14:paraId="7A1FF639"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Licda. Angie Calderón Chaves – Secretaría Género y Acceso a la Justicia </w:t>
      </w:r>
    </w:p>
    <w:p w14:paraId="3735D966"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Licda. Melissa Benavides Víquez – Acceso a la Justicia </w:t>
      </w:r>
    </w:p>
    <w:p w14:paraId="27E1FF17"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Ausente con justificación: Licda. Laura Arias Guillén, por motivo de atender audiencia señalada previamente.</w:t>
      </w:r>
    </w:p>
    <w:p w14:paraId="2403D173"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4186F62E" w14:textId="77777777" w:rsidR="003513FD" w:rsidRPr="00BB53C0" w:rsidRDefault="003513FD" w:rsidP="003513FD">
      <w:pPr>
        <w:spacing w:after="0" w:line="360" w:lineRule="auto"/>
        <w:ind w:firstLine="708"/>
        <w:jc w:val="both"/>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 xml:space="preserve">Reunión N° 3: </w:t>
      </w:r>
      <w:r w:rsidRPr="00BB53C0">
        <w:rPr>
          <w:rFonts w:ascii="Arial" w:eastAsia="Times New Roman" w:hAnsi="Arial" w:cs="Arial"/>
          <w:sz w:val="24"/>
          <w:szCs w:val="24"/>
          <w:lang w:val="es-ES" w:eastAsia="es-ES"/>
        </w:rPr>
        <w:t xml:space="preserve">Primera audiencia del 9 de junio </w:t>
      </w:r>
    </w:p>
    <w:p w14:paraId="719F0E89" w14:textId="77777777" w:rsidR="003513FD" w:rsidRPr="00BB53C0" w:rsidRDefault="003513FD" w:rsidP="003513FD">
      <w:pPr>
        <w:spacing w:after="0" w:line="360" w:lineRule="auto"/>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7DFD9713" w14:textId="77777777" w:rsidR="003513FD" w:rsidRPr="00BB53C0" w:rsidRDefault="003513FD" w:rsidP="003513FD">
      <w:pPr>
        <w:spacing w:after="0" w:line="360" w:lineRule="auto"/>
        <w:rPr>
          <w:rFonts w:ascii="Arial" w:eastAsia="Times New Roman" w:hAnsi="Arial" w:cs="Arial"/>
          <w:sz w:val="24"/>
          <w:szCs w:val="24"/>
          <w:lang w:val="es-ES" w:eastAsia="es-ES"/>
        </w:rPr>
      </w:pPr>
      <w:bookmarkStart w:id="18" w:name="_Hlk56673147"/>
      <w:r w:rsidRPr="00BB53C0">
        <w:rPr>
          <w:rFonts w:ascii="Arial" w:eastAsia="Times New Roman" w:hAnsi="Arial" w:cs="Arial"/>
          <w:sz w:val="24"/>
          <w:szCs w:val="24"/>
          <w:lang w:val="es-ES" w:eastAsia="es-ES"/>
        </w:rPr>
        <w:lastRenderedPageBreak/>
        <w:t>Magistrada Sandra Eugenia Zúñiga Morales.</w:t>
      </w:r>
      <w:bookmarkEnd w:id="18"/>
      <w:r w:rsidRPr="00BB53C0">
        <w:rPr>
          <w:rFonts w:ascii="Arial" w:eastAsia="Times New Roman" w:hAnsi="Arial" w:cs="Arial"/>
          <w:sz w:val="24"/>
          <w:szCs w:val="24"/>
          <w:lang w:val="es-ES" w:eastAsia="es-ES"/>
        </w:rPr>
        <w:t xml:space="preserve"> </w:t>
      </w:r>
    </w:p>
    <w:p w14:paraId="0499B71B"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Carlo Díaz Sánchez – representa a la Fiscalía General.</w:t>
      </w:r>
    </w:p>
    <w:p w14:paraId="18123C6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Licda. Diana Montero Montero – Jefa de la Defensa Pública a.i.</w:t>
      </w:r>
    </w:p>
    <w:p w14:paraId="0EA3509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Flavio Quesada Sánchez- Secretaría General O.I.J.</w:t>
      </w:r>
    </w:p>
    <w:p w14:paraId="2A56CA21"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Licda. Laura Marcela Arias Guillén – Ejecución de la Pena de la DP.</w:t>
      </w:r>
    </w:p>
    <w:p w14:paraId="5E952CB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Licda. Melissa Benavides Víquez – Acceso a la Justicia </w:t>
      </w:r>
    </w:p>
    <w:p w14:paraId="1BE0D1A1" w14:textId="77777777" w:rsidR="003513FD" w:rsidRPr="00BB53C0" w:rsidRDefault="003513FD" w:rsidP="003513FD">
      <w:pPr>
        <w:spacing w:after="0" w:line="360" w:lineRule="auto"/>
        <w:rPr>
          <w:rFonts w:ascii="Arial" w:eastAsia="Times New Roman" w:hAnsi="Arial" w:cs="Arial"/>
          <w:b/>
          <w:bCs/>
          <w:sz w:val="24"/>
          <w:szCs w:val="24"/>
          <w:lang w:val="es-ES" w:eastAsia="es-ES"/>
        </w:rPr>
      </w:pPr>
    </w:p>
    <w:p w14:paraId="1AD6D7F8" w14:textId="77777777" w:rsidR="003513FD" w:rsidRPr="00BB53C0" w:rsidRDefault="003513FD" w:rsidP="003513FD">
      <w:pPr>
        <w:spacing w:after="0" w:line="360" w:lineRule="auto"/>
        <w:ind w:firstLine="708"/>
        <w:jc w:val="both"/>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 xml:space="preserve">Reunión N° 4: </w:t>
      </w:r>
      <w:r w:rsidRPr="00BB53C0">
        <w:rPr>
          <w:rFonts w:ascii="Arial" w:eastAsia="Times New Roman" w:hAnsi="Arial" w:cs="Arial"/>
          <w:sz w:val="24"/>
          <w:szCs w:val="24"/>
          <w:lang w:val="es-ES" w:eastAsia="es-ES"/>
        </w:rPr>
        <w:t xml:space="preserve">Segunda audiencia del 31 de julio </w:t>
      </w:r>
    </w:p>
    <w:p w14:paraId="3F280DB3" w14:textId="77777777" w:rsidR="003513FD" w:rsidRPr="00BB53C0" w:rsidRDefault="003513FD" w:rsidP="003513FD">
      <w:pPr>
        <w:spacing w:after="0" w:line="360" w:lineRule="auto"/>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7EA2663D"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Eugenia Zúñiga Morales.</w:t>
      </w:r>
    </w:p>
    <w:p w14:paraId="373926AD"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Licda. Ana Eugenia Romero Jenkins</w:t>
      </w:r>
    </w:p>
    <w:p w14:paraId="268D7FB5"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Carlos Jiménez González</w:t>
      </w:r>
    </w:p>
    <w:p w14:paraId="1D6919D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Melvin Obando Villalobos</w:t>
      </w:r>
    </w:p>
    <w:p w14:paraId="641069AC"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Flavio Quesada Sánchez</w:t>
      </w:r>
    </w:p>
    <w:p w14:paraId="64B2EA43" w14:textId="77777777" w:rsidR="003513FD" w:rsidRPr="00BB53C0" w:rsidRDefault="003513FD" w:rsidP="003513FD">
      <w:pPr>
        <w:spacing w:before="120" w:after="12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En vista de la emergencia sanitaria por el COVID 19, para el conocimiento y aprobación de los asuntos de manera más fluida, se acordó remitir vía correo electrónico, las propuestas sobre temas específicos, acordándose que se convocaría a sesión únicamente en caso de existir alguna oposición.</w:t>
      </w:r>
    </w:p>
    <w:p w14:paraId="3ED1F311" w14:textId="77777777" w:rsidR="003513FD" w:rsidRPr="00BB53C0" w:rsidRDefault="003513FD" w:rsidP="00C10ACE">
      <w:pPr>
        <w:numPr>
          <w:ilvl w:val="0"/>
          <w:numId w:val="7"/>
        </w:numPr>
        <w:spacing w:after="0" w:line="360" w:lineRule="auto"/>
        <w:contextualSpacing/>
        <w:rPr>
          <w:rFonts w:ascii="Arial" w:eastAsiaTheme="minorHAnsi" w:hAnsi="Arial" w:cs="Arial"/>
          <w:b/>
          <w:bCs/>
          <w:sz w:val="24"/>
          <w:szCs w:val="24"/>
          <w:lang w:val="es-ES"/>
        </w:rPr>
      </w:pPr>
      <w:r w:rsidRPr="00BB53C0">
        <w:rPr>
          <w:rFonts w:ascii="Arial" w:eastAsiaTheme="minorHAnsi" w:hAnsi="Arial" w:cs="Arial"/>
          <w:b/>
          <w:bCs/>
          <w:sz w:val="24"/>
          <w:szCs w:val="24"/>
          <w:lang w:val="es-ES"/>
        </w:rPr>
        <w:t>Participación en reuniones</w:t>
      </w:r>
    </w:p>
    <w:p w14:paraId="1766AE24" w14:textId="77777777" w:rsidR="003513FD" w:rsidRPr="00BB53C0" w:rsidRDefault="003513FD" w:rsidP="003513FD">
      <w:pPr>
        <w:spacing w:after="0" w:line="360" w:lineRule="auto"/>
        <w:ind w:firstLine="360"/>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Además de las reuniones a las que se convocó a todas las personas integrantes de la Subcomisión, se tuvo participación en las siguientes actividades:</w:t>
      </w:r>
    </w:p>
    <w:p w14:paraId="5933622F" w14:textId="77777777" w:rsidR="003513FD" w:rsidRPr="00BB53C0" w:rsidRDefault="003513FD" w:rsidP="00C10ACE">
      <w:pPr>
        <w:numPr>
          <w:ilvl w:val="0"/>
          <w:numId w:val="5"/>
        </w:numPr>
        <w:spacing w:after="0" w:line="360" w:lineRule="auto"/>
        <w:contextualSpacing/>
        <w:jc w:val="both"/>
        <w:rPr>
          <w:rFonts w:ascii="Arial" w:eastAsiaTheme="minorHAnsi" w:hAnsi="Arial" w:cs="Arial"/>
          <w:bCs/>
          <w:sz w:val="24"/>
          <w:szCs w:val="24"/>
          <w:lang w:val="es-ES"/>
        </w:rPr>
      </w:pPr>
      <w:r w:rsidRPr="00BB53C0">
        <w:rPr>
          <w:rFonts w:ascii="Arial" w:eastAsiaTheme="minorHAnsi" w:hAnsi="Arial" w:cs="Arial"/>
          <w:bCs/>
          <w:sz w:val="24"/>
          <w:szCs w:val="24"/>
          <w:lang w:val="es-ES"/>
        </w:rPr>
        <w:t>El día 10 de junio, en la primera audiencia, hubo sesión de trabajo por Teams con la Mag. Sandra Zúñiga, la licenciada Lucía Sánchez Mora y Tony Porras Mora (Jefe de Celdas del Primer Circuito Judicial de San José), para exponer abordaje de las personas en celdas ante el Covid-19.</w:t>
      </w:r>
    </w:p>
    <w:p w14:paraId="234A8D60" w14:textId="07A82728" w:rsidR="003513FD" w:rsidRPr="00BB53C0" w:rsidRDefault="003513FD" w:rsidP="00C10ACE">
      <w:pPr>
        <w:numPr>
          <w:ilvl w:val="0"/>
          <w:numId w:val="5"/>
        </w:numPr>
        <w:spacing w:after="0" w:line="360" w:lineRule="auto"/>
        <w:contextualSpacing/>
        <w:jc w:val="both"/>
        <w:rPr>
          <w:rFonts w:ascii="Arial" w:eastAsiaTheme="minorHAnsi" w:hAnsi="Arial" w:cs="Arial"/>
          <w:bCs/>
          <w:sz w:val="24"/>
          <w:szCs w:val="24"/>
          <w:lang w:val="es-ES"/>
        </w:rPr>
      </w:pPr>
      <w:r w:rsidRPr="00BB53C0">
        <w:rPr>
          <w:rFonts w:ascii="Arial" w:eastAsiaTheme="minorHAnsi" w:hAnsi="Arial" w:cs="Arial"/>
          <w:bCs/>
          <w:sz w:val="24"/>
          <w:szCs w:val="24"/>
          <w:lang w:val="es-ES"/>
        </w:rPr>
        <w:t xml:space="preserve">El día 11 de junio, en la primera audiencia, participé en Webinario por Teams: </w:t>
      </w:r>
      <w:r w:rsidRPr="00BB53C0">
        <w:rPr>
          <w:rFonts w:ascii="Arial" w:eastAsiaTheme="minorHAnsi" w:hAnsi="Arial" w:cs="Arial"/>
          <w:bCs/>
          <w:i/>
          <w:iCs/>
          <w:sz w:val="24"/>
          <w:szCs w:val="24"/>
          <w:lang w:val="es-ES"/>
        </w:rPr>
        <w:t>“Bases para un protocolo de traslado de privados de libertad con ocasión del Covid-19”,</w:t>
      </w:r>
      <w:r w:rsidRPr="00BB53C0">
        <w:rPr>
          <w:rFonts w:ascii="Arial" w:eastAsiaTheme="minorHAnsi" w:hAnsi="Arial" w:cs="Arial"/>
          <w:bCs/>
          <w:sz w:val="24"/>
          <w:szCs w:val="24"/>
          <w:lang w:val="es-ES"/>
        </w:rPr>
        <w:t xml:space="preserve"> organizado por el Programa EL PACTO.</w:t>
      </w:r>
    </w:p>
    <w:p w14:paraId="7E1E6FB7" w14:textId="77777777" w:rsidR="003513FD" w:rsidRPr="00BB53C0" w:rsidRDefault="003513FD" w:rsidP="00C10ACE">
      <w:pPr>
        <w:numPr>
          <w:ilvl w:val="0"/>
          <w:numId w:val="5"/>
        </w:numPr>
        <w:spacing w:after="0" w:line="360" w:lineRule="auto"/>
        <w:contextualSpacing/>
        <w:jc w:val="both"/>
        <w:rPr>
          <w:rFonts w:ascii="Arial" w:eastAsiaTheme="minorHAnsi" w:hAnsi="Arial" w:cs="Arial"/>
          <w:bCs/>
          <w:sz w:val="24"/>
          <w:szCs w:val="24"/>
          <w:lang w:val="es-ES"/>
        </w:rPr>
      </w:pPr>
      <w:r w:rsidRPr="00BB53C0">
        <w:rPr>
          <w:rFonts w:ascii="Arial" w:eastAsiaTheme="minorHAnsi" w:hAnsi="Arial" w:cs="Arial"/>
          <w:bCs/>
          <w:sz w:val="24"/>
          <w:szCs w:val="24"/>
          <w:lang w:val="es-ES"/>
        </w:rPr>
        <w:t>El miércoles 19 de agosto, mantuve reunión con Melissa Benavides y Angie Calderón, para la definición de las políticas del PAO 2021-2022 de la Subcomisión de Acceso a la Justicia para Personas Privadas de Libertad.</w:t>
      </w:r>
    </w:p>
    <w:p w14:paraId="70B0C97F" w14:textId="77777777" w:rsidR="003513FD" w:rsidRPr="00BB53C0" w:rsidRDefault="003513FD" w:rsidP="003513FD">
      <w:pPr>
        <w:spacing w:after="0" w:line="360" w:lineRule="auto"/>
        <w:jc w:val="both"/>
        <w:rPr>
          <w:rFonts w:ascii="Arial" w:eastAsia="Times New Roman" w:hAnsi="Arial" w:cs="Arial"/>
          <w:bCs/>
          <w:sz w:val="24"/>
          <w:szCs w:val="24"/>
          <w:lang w:val="es-ES" w:eastAsia="es-ES"/>
        </w:rPr>
      </w:pPr>
    </w:p>
    <w:p w14:paraId="492EFD74" w14:textId="77777777" w:rsidR="003513FD" w:rsidRPr="00BB53C0" w:rsidRDefault="003513FD" w:rsidP="00C10ACE">
      <w:pPr>
        <w:numPr>
          <w:ilvl w:val="0"/>
          <w:numId w:val="7"/>
        </w:numPr>
        <w:spacing w:after="0" w:line="360" w:lineRule="auto"/>
        <w:contextualSpacing/>
        <w:rPr>
          <w:rFonts w:ascii="Arial" w:eastAsiaTheme="minorHAnsi" w:hAnsi="Arial" w:cs="Arial"/>
          <w:b/>
          <w:bCs/>
          <w:sz w:val="24"/>
          <w:szCs w:val="24"/>
          <w:lang w:val="es-ES"/>
        </w:rPr>
      </w:pPr>
      <w:r w:rsidRPr="00BB53C0">
        <w:rPr>
          <w:rFonts w:ascii="Arial" w:eastAsiaTheme="minorHAnsi" w:hAnsi="Arial" w:cs="Arial"/>
          <w:b/>
          <w:bCs/>
          <w:sz w:val="24"/>
          <w:szCs w:val="24"/>
          <w:lang w:val="es-ES"/>
        </w:rPr>
        <w:t>Redacción de oficios</w:t>
      </w:r>
    </w:p>
    <w:p w14:paraId="2ABE2FC5" w14:textId="77777777" w:rsidR="003513FD" w:rsidRPr="00BB53C0" w:rsidRDefault="003513FD" w:rsidP="003513FD">
      <w:pPr>
        <w:spacing w:after="0" w:line="360" w:lineRule="auto"/>
        <w:ind w:left="720"/>
        <w:rPr>
          <w:rFonts w:ascii="Arial" w:eastAsia="Times New Roman" w:hAnsi="Arial" w:cs="Arial"/>
          <w:sz w:val="24"/>
          <w:szCs w:val="24"/>
          <w:lang w:val="es-ES"/>
        </w:rPr>
      </w:pPr>
      <w:r w:rsidRPr="00BB53C0">
        <w:rPr>
          <w:rFonts w:ascii="Arial" w:eastAsia="Times New Roman" w:hAnsi="Arial" w:cs="Arial"/>
          <w:sz w:val="24"/>
          <w:szCs w:val="24"/>
          <w:lang w:val="es-ES"/>
        </w:rPr>
        <w:t>Se redactaron y remitieron 18 oficios durante el año 2020:</w:t>
      </w:r>
    </w:p>
    <w:p w14:paraId="5D3B703B" w14:textId="77777777" w:rsidR="003513FD" w:rsidRPr="00BB53C0" w:rsidRDefault="003513FD" w:rsidP="003513FD">
      <w:pPr>
        <w:spacing w:after="0" w:line="360" w:lineRule="auto"/>
        <w:rPr>
          <w:rFonts w:ascii="Arial" w:eastAsia="Times New Roman" w:hAnsi="Arial" w:cs="Arial"/>
          <w:b/>
          <w:bCs/>
          <w:sz w:val="24"/>
          <w:szCs w:val="24"/>
          <w:lang w:val="es-ES" w:eastAsia="es-ES"/>
        </w:rPr>
      </w:pPr>
      <w:bookmarkStart w:id="19" w:name="_Hlk61942407"/>
    </w:p>
    <w:p w14:paraId="4C4D753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SAJPPL/01-2020:</w:t>
      </w:r>
      <w:r w:rsidRPr="00BB53C0">
        <w:rPr>
          <w:rFonts w:ascii="Arial" w:eastAsia="Times New Roman" w:hAnsi="Arial" w:cs="Arial"/>
          <w:sz w:val="24"/>
          <w:szCs w:val="24"/>
          <w:lang w:val="es-ES" w:eastAsia="es-ES"/>
        </w:rPr>
        <w:t xml:space="preserve"> Acuerdo de la Subcomisión, mediante sesión N° 3-2020, del 9 de junio del 2020, en el que se dispone remitir a conocimiento del Consejo Superior del Poder Judicial, una consulta realizada por la Fiscal de Ejecución de la Pena, Andrea Severino Mora.</w:t>
      </w:r>
    </w:p>
    <w:p w14:paraId="529629B3"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bookmarkEnd w:id="19"/>
    <w:p w14:paraId="65CAA1C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SAJPPL/02-2020</w:t>
      </w:r>
      <w:r w:rsidRPr="00BB53C0">
        <w:rPr>
          <w:rFonts w:ascii="Arial" w:eastAsia="Times New Roman" w:hAnsi="Arial" w:cs="Arial"/>
          <w:sz w:val="24"/>
          <w:szCs w:val="24"/>
          <w:lang w:val="es-ES" w:eastAsia="es-ES"/>
        </w:rPr>
        <w:t>: Acuerdo de la Subcomisión, mediante sesión N° 3-2020, dándose respuesta al oficio N° 2-CSG/iom-2019, remitido por el Contralor de Servicios Regional del Segundo Circuito Judicial de San José, Franklin Benavides Solano, indicándose que la situación expuesta fue abordada y enmendada por la autoridad jurisdiccional correspondiente.</w:t>
      </w:r>
    </w:p>
    <w:p w14:paraId="29AC27E8"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4C83AB0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SAJPPL/03-2020</w:t>
      </w:r>
      <w:r w:rsidRPr="00BB53C0">
        <w:rPr>
          <w:rFonts w:ascii="Arial" w:eastAsia="Times New Roman" w:hAnsi="Arial" w:cs="Arial"/>
          <w:sz w:val="24"/>
          <w:szCs w:val="24"/>
          <w:lang w:val="es-ES" w:eastAsia="es-ES"/>
        </w:rPr>
        <w:t>: El 14 de mayo de 2020, se remitió a las personas integrantes de la Subcomisión, el “boletín Covid-19”, Marzo-Abril de 2020, de la Secretaría de Acceso a Derechos y Equidad (SARE) de la OEA.</w:t>
      </w:r>
    </w:p>
    <w:p w14:paraId="7243EFEB"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3358112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SAJPPL/04-2020</w:t>
      </w:r>
      <w:r w:rsidRPr="00BB53C0">
        <w:rPr>
          <w:rFonts w:ascii="Arial" w:eastAsia="Times New Roman" w:hAnsi="Arial" w:cs="Arial"/>
          <w:sz w:val="24"/>
          <w:szCs w:val="24"/>
          <w:lang w:val="es-ES" w:eastAsia="es-ES"/>
        </w:rPr>
        <w:t>: Se solicitó al Consejo Superior para que dentro de las circulares emitidas, se le hiciera excitativa a los Juzgados y Tribunales de todos los circuitos judiciales, en relación con la revisión de la capacidad de las celdas, el planeamiento de los señalamientos en atención al cumplimiento de las medidas sanitarias.</w:t>
      </w:r>
    </w:p>
    <w:p w14:paraId="54976FC4"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50A7A78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SAJPPL/05-2020</w:t>
      </w:r>
      <w:r w:rsidRPr="00BB53C0">
        <w:rPr>
          <w:rFonts w:ascii="Arial" w:eastAsia="Times New Roman" w:hAnsi="Arial" w:cs="Arial"/>
          <w:sz w:val="24"/>
          <w:szCs w:val="24"/>
          <w:lang w:val="es-ES" w:eastAsia="es-ES"/>
        </w:rPr>
        <w:t>: Acuerdo de la Subcomisión, mediante sesión N° 3-2020, solicitándose a las Contralorías de Servicios de los diferentes circuitos judiciales del país, que pusieran en conocimiento de esta Subcomisión, cualquier asunto que pudiera afectar a la población privada de libertad o apremiada por incumplimiento de su deber alimentario y que pueda constituir una oportunidad de mejora del servicio público que se brinda.</w:t>
      </w:r>
    </w:p>
    <w:p w14:paraId="4AD34434"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25EC6E6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SAJPPL/06-2020</w:t>
      </w:r>
      <w:r w:rsidRPr="00BB53C0">
        <w:rPr>
          <w:rFonts w:ascii="Arial" w:eastAsia="Times New Roman" w:hAnsi="Arial" w:cs="Arial"/>
          <w:sz w:val="24"/>
          <w:szCs w:val="24"/>
          <w:lang w:val="es-ES" w:eastAsia="es-ES"/>
        </w:rPr>
        <w:t xml:space="preserve">: El día 2 de setiembre del 2020, en atención al oficio CACC-355-2020, remitido el 24 de agosto, se compartió con las personas integrantes de la Subcomisión, el </w:t>
      </w:r>
      <w:r w:rsidRPr="00BB53C0">
        <w:rPr>
          <w:rFonts w:ascii="Arial" w:eastAsia="Times New Roman" w:hAnsi="Arial" w:cs="Arial"/>
          <w:i/>
          <w:iCs/>
          <w:sz w:val="24"/>
          <w:szCs w:val="24"/>
          <w:lang w:val="es-ES" w:eastAsia="es-ES"/>
        </w:rPr>
        <w:t xml:space="preserve">“Estatuto de la Justicia y Derechos de las Personas Usuarias” </w:t>
      </w:r>
      <w:r w:rsidRPr="00BB53C0">
        <w:rPr>
          <w:rFonts w:ascii="Arial" w:eastAsia="Times New Roman" w:hAnsi="Arial" w:cs="Arial"/>
          <w:sz w:val="24"/>
          <w:szCs w:val="24"/>
          <w:lang w:val="es-ES" w:eastAsia="es-ES"/>
        </w:rPr>
        <w:t>para su análisis y valoración de la pertinencia de formular una propuesta a Corte Plena, tendiente a modificar o actualizar dicha disposición.</w:t>
      </w:r>
    </w:p>
    <w:p w14:paraId="7A538A3A"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71EAD119" w14:textId="364B6AB6" w:rsidR="003513FD" w:rsidRPr="00BB53C0" w:rsidRDefault="003513FD" w:rsidP="003513FD">
      <w:pPr>
        <w:spacing w:after="0" w:line="360" w:lineRule="auto"/>
        <w:ind w:firstLine="708"/>
        <w:jc w:val="both"/>
        <w:rPr>
          <w:rFonts w:ascii="Arial" w:eastAsia="Times New Roman" w:hAnsi="Arial" w:cs="Arial"/>
          <w:i/>
          <w:iCs/>
          <w:sz w:val="24"/>
          <w:szCs w:val="24"/>
          <w:lang w:val="es-ES" w:eastAsia="es-ES"/>
        </w:rPr>
      </w:pPr>
      <w:r w:rsidRPr="00BB53C0">
        <w:rPr>
          <w:rFonts w:ascii="Arial" w:eastAsia="Times New Roman" w:hAnsi="Arial" w:cs="Arial"/>
          <w:b/>
          <w:bCs/>
          <w:sz w:val="24"/>
          <w:szCs w:val="24"/>
          <w:lang w:val="es-ES" w:eastAsia="es-ES"/>
        </w:rPr>
        <w:t>Oficio N° SAJPPL/07-2020</w:t>
      </w:r>
      <w:r w:rsidRPr="00BB53C0">
        <w:rPr>
          <w:rFonts w:ascii="Arial" w:eastAsia="Times New Roman" w:hAnsi="Arial" w:cs="Arial"/>
          <w:sz w:val="24"/>
          <w:szCs w:val="24"/>
          <w:lang w:val="es-ES" w:eastAsia="es-ES"/>
        </w:rPr>
        <w:t>: El día 2 de setiembre del 2020, se remitió a las personas integrantes de la Subcomisión, el documento elaborado por la Defensa Pública, denominado:</w:t>
      </w:r>
      <w:r w:rsidRPr="00BB53C0">
        <w:rPr>
          <w:rFonts w:ascii="Arial" w:eastAsia="Times New Roman" w:hAnsi="Arial" w:cs="Arial"/>
          <w:i/>
          <w:iCs/>
          <w:sz w:val="24"/>
          <w:szCs w:val="24"/>
          <w:lang w:val="es-ES" w:eastAsia="es-ES"/>
        </w:rPr>
        <w:t xml:space="preserve"> </w:t>
      </w:r>
      <w:bookmarkStart w:id="20" w:name="_Hlk61943594"/>
      <w:r w:rsidRPr="00BB53C0">
        <w:rPr>
          <w:rFonts w:ascii="Arial" w:eastAsia="Times New Roman" w:hAnsi="Arial" w:cs="Arial"/>
          <w:i/>
          <w:iCs/>
          <w:sz w:val="24"/>
          <w:szCs w:val="24"/>
          <w:lang w:val="es-ES" w:eastAsia="es-ES"/>
        </w:rPr>
        <w:t>“Mecanismo de visitas carcelarias presenciales en materia de ejecución de la</w:t>
      </w:r>
      <w:r w:rsidR="003C5F37">
        <w:rPr>
          <w:rFonts w:ascii="Arial" w:eastAsia="Times New Roman" w:hAnsi="Arial" w:cs="Arial"/>
          <w:i/>
          <w:iCs/>
          <w:sz w:val="24"/>
          <w:szCs w:val="24"/>
          <w:lang w:val="es-ES" w:eastAsia="es-ES"/>
        </w:rPr>
        <w:t xml:space="preserve"> </w:t>
      </w:r>
      <w:r w:rsidRPr="00BB53C0">
        <w:rPr>
          <w:rFonts w:ascii="Arial" w:eastAsia="Times New Roman" w:hAnsi="Arial" w:cs="Arial"/>
          <w:i/>
          <w:iCs/>
          <w:sz w:val="24"/>
          <w:szCs w:val="24"/>
          <w:lang w:val="es-ES" w:eastAsia="es-ES"/>
        </w:rPr>
        <w:t>pena en el CAI Vilma Curling en el marco de la pandemia por el Covid-19”.</w:t>
      </w:r>
      <w:bookmarkEnd w:id="20"/>
    </w:p>
    <w:p w14:paraId="58649A00"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2674DDD3" w14:textId="50D17172"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SAJPPL/08-2020:</w:t>
      </w:r>
      <w:r w:rsidRPr="00BB53C0">
        <w:rPr>
          <w:rFonts w:ascii="Arial" w:eastAsia="Times New Roman" w:hAnsi="Arial" w:cs="Arial"/>
          <w:sz w:val="24"/>
          <w:szCs w:val="24"/>
          <w:lang w:val="es-ES" w:eastAsia="es-ES"/>
        </w:rPr>
        <w:t xml:space="preserve"> El 11 de setiembre del 2020, se remitió al Despacho de Presidencia de la Corte Suprema de Justicia, compartiéndose las observaciones realizadas por las personas integrantes de la Subcomisión, al documento </w:t>
      </w:r>
      <w:r w:rsidRPr="00BB53C0">
        <w:rPr>
          <w:rFonts w:ascii="Arial" w:eastAsia="Times New Roman" w:hAnsi="Arial" w:cs="Arial"/>
          <w:i/>
          <w:iCs/>
          <w:sz w:val="24"/>
          <w:szCs w:val="24"/>
          <w:lang w:val="es-ES" w:eastAsia="es-ES"/>
        </w:rPr>
        <w:t>“Mecanismo de visitas carcelarias presenciales en materia de ejecución de la apena en el CAI Vilma Curling en el marco de la pandemia por el Covid-19”</w:t>
      </w:r>
      <w:r w:rsidRPr="00BB53C0">
        <w:rPr>
          <w:rFonts w:ascii="Arial" w:eastAsia="Times New Roman" w:hAnsi="Arial" w:cs="Arial"/>
          <w:sz w:val="24"/>
          <w:szCs w:val="24"/>
          <w:lang w:val="es-ES" w:eastAsia="es-ES"/>
        </w:rPr>
        <w:t>, se le solicitó al Despacho de Presidencia de la Corte, que si a bien lo estimaban, en representación del Poder Judicial, interpusieran sus buenos oficios para proceder con el traslado de</w:t>
      </w:r>
      <w:r w:rsidR="003C5F37">
        <w:rPr>
          <w:rFonts w:ascii="Arial" w:eastAsia="Times New Roman" w:hAnsi="Arial" w:cs="Arial"/>
          <w:sz w:val="24"/>
          <w:szCs w:val="24"/>
          <w:lang w:val="es-ES" w:eastAsia="es-ES"/>
        </w:rPr>
        <w:t xml:space="preserve"> </w:t>
      </w:r>
      <w:r w:rsidRPr="00BB53C0">
        <w:rPr>
          <w:rFonts w:ascii="Arial" w:eastAsia="Times New Roman" w:hAnsi="Arial" w:cs="Arial"/>
          <w:sz w:val="24"/>
          <w:szCs w:val="24"/>
          <w:lang w:val="es-ES" w:eastAsia="es-ES"/>
        </w:rPr>
        <w:t xml:space="preserve">la propuesta elaborada, a las autoridades del Poder Ejecutivo, como lo insta la Defensa Pública. </w:t>
      </w:r>
    </w:p>
    <w:p w14:paraId="6C6EA9BD"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6C729970" w14:textId="78CD5F1E"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SAJPPL/09-2020</w:t>
      </w:r>
      <w:r w:rsidRPr="00BB53C0">
        <w:rPr>
          <w:rFonts w:ascii="Arial" w:eastAsia="Times New Roman" w:hAnsi="Arial" w:cs="Arial"/>
          <w:sz w:val="24"/>
          <w:szCs w:val="24"/>
          <w:lang w:val="es-ES" w:eastAsia="es-ES"/>
        </w:rPr>
        <w:t xml:space="preserve">: El 16 de octubre del 2020, se remitió a la Unidad de Acceso a la Justicia, una propuesta de modificación al </w:t>
      </w:r>
      <w:r w:rsidRPr="00BB53C0">
        <w:rPr>
          <w:rFonts w:ascii="Arial" w:eastAsia="Times New Roman" w:hAnsi="Arial" w:cs="Arial"/>
          <w:i/>
          <w:iCs/>
          <w:sz w:val="24"/>
          <w:szCs w:val="24"/>
          <w:lang w:val="es-ES" w:eastAsia="es-ES"/>
        </w:rPr>
        <w:t>“Estatuto de la Justicia y Derechos de las personas usuarias”,</w:t>
      </w:r>
      <w:r w:rsidRPr="00BB53C0">
        <w:rPr>
          <w:rFonts w:ascii="Arial" w:eastAsia="Times New Roman" w:hAnsi="Arial" w:cs="Arial"/>
          <w:sz w:val="24"/>
          <w:szCs w:val="24"/>
          <w:lang w:val="es-ES" w:eastAsia="es-ES"/>
        </w:rPr>
        <w:t xml:space="preserve"> elaborada desde el seno de la Subcomisión, en atención al </w:t>
      </w:r>
      <w:r w:rsidR="00D41CC3" w:rsidRPr="00BB53C0">
        <w:rPr>
          <w:rFonts w:ascii="Arial" w:eastAsia="Times New Roman" w:hAnsi="Arial" w:cs="Arial"/>
          <w:sz w:val="24"/>
          <w:szCs w:val="24"/>
          <w:lang w:val="es-ES" w:eastAsia="es-ES"/>
        </w:rPr>
        <w:t>Oficio CACC</w:t>
      </w:r>
      <w:r w:rsidRPr="00BB53C0">
        <w:rPr>
          <w:rFonts w:ascii="Arial" w:eastAsia="Times New Roman" w:hAnsi="Arial" w:cs="Arial"/>
          <w:sz w:val="24"/>
          <w:szCs w:val="24"/>
          <w:lang w:val="es-ES" w:eastAsia="es-ES"/>
        </w:rPr>
        <w:t>-355-2020.</w:t>
      </w:r>
    </w:p>
    <w:p w14:paraId="03755F8B"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48DF02B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SAJPPL/10-2020</w:t>
      </w:r>
      <w:r w:rsidRPr="00BB53C0">
        <w:rPr>
          <w:rFonts w:ascii="Arial" w:eastAsia="Times New Roman" w:hAnsi="Arial" w:cs="Arial"/>
          <w:sz w:val="24"/>
          <w:szCs w:val="24"/>
          <w:lang w:val="es-ES" w:eastAsia="es-ES"/>
        </w:rPr>
        <w:t>: El 24 de setiembre del 2020, en atención al oficio CACC-409-2020, remitido el 11 de setiembre, se dio audiencia a las personas integrantes de la Subcomisión, para que se refirieran a la efectiva vigencia, así como a la necesidad de continuar operando en atención al cumplimiento de los fines que orientaron su creación.</w:t>
      </w:r>
    </w:p>
    <w:p w14:paraId="2E78925B"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62937F6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SAJPPL/11-2020</w:t>
      </w:r>
      <w:r w:rsidRPr="00BB53C0">
        <w:rPr>
          <w:rFonts w:ascii="Arial" w:eastAsia="Times New Roman" w:hAnsi="Arial" w:cs="Arial"/>
          <w:sz w:val="24"/>
          <w:szCs w:val="24"/>
          <w:lang w:val="es-ES" w:eastAsia="es-ES"/>
        </w:rPr>
        <w:t>: El 28 de setiembre del 2020 se dio respuesta al Oficio N° CACC-409-2020, remitido por la Unidad de Acceso a la Justicia, exponiendo las acciones desarrolladas desde que se asumió la coordinación de la Subcomisión y que demuestra la vigencia de la misma y respecto a la necesidad de seguir operando.</w:t>
      </w:r>
    </w:p>
    <w:p w14:paraId="4F8B8429"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3659E86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SAJPPL/12-2020:</w:t>
      </w:r>
      <w:r w:rsidRPr="00BB53C0">
        <w:rPr>
          <w:rFonts w:ascii="Arial" w:eastAsia="Times New Roman" w:hAnsi="Arial" w:cs="Arial"/>
          <w:sz w:val="24"/>
          <w:szCs w:val="24"/>
          <w:lang w:val="es-ES" w:eastAsia="es-ES"/>
        </w:rPr>
        <w:t xml:space="preserve"> El 2 de octubre del 2020, se agradece a la Unidad de Acceso a la Justicia, haber puesto en conocimiento de la Subcomisión, mediante correo electrónico remitido el 29 de setiembre, la Oportunidad de Fondos del Programa de Participación de la UNESCO.</w:t>
      </w:r>
    </w:p>
    <w:p w14:paraId="323539D1"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3EF7D99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SAJPPL/13-2020:</w:t>
      </w:r>
      <w:r w:rsidRPr="00BB53C0">
        <w:rPr>
          <w:rFonts w:ascii="Arial" w:eastAsia="Times New Roman" w:hAnsi="Arial" w:cs="Arial"/>
          <w:sz w:val="24"/>
          <w:szCs w:val="24"/>
          <w:lang w:val="es-ES" w:eastAsia="es-ES"/>
        </w:rPr>
        <w:t xml:space="preserve"> El 7 de octubre del 2020, se remitió a la Secretaría General de la Corte Suprema de Justicia, respuesta al Oficio N° 7699-2020, respecto a la vigencia de la Subcomisión y en cuanto a la necesidad de seguir operando.</w:t>
      </w:r>
    </w:p>
    <w:p w14:paraId="45629D4A"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7339054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SAJPPL/14-2020</w:t>
      </w:r>
      <w:r w:rsidRPr="00BB53C0">
        <w:rPr>
          <w:rFonts w:ascii="Arial" w:eastAsia="Times New Roman" w:hAnsi="Arial" w:cs="Arial"/>
          <w:sz w:val="24"/>
          <w:szCs w:val="24"/>
          <w:lang w:val="es-ES" w:eastAsia="es-ES"/>
        </w:rPr>
        <w:t xml:space="preserve">: El 21 de octubre del 2020, se remitió a la Unidad de Acceso a la Justicia, respuesta al Oficio CACC-483-2020, de fecha 21 de setiembre, con las modificaciones propuestas por las personas integrantes de la Subcomisión, a la Circular: </w:t>
      </w:r>
      <w:r w:rsidRPr="00BB53C0">
        <w:rPr>
          <w:rFonts w:ascii="Arial" w:eastAsia="Times New Roman" w:hAnsi="Arial" w:cs="Arial"/>
          <w:i/>
          <w:iCs/>
          <w:sz w:val="24"/>
          <w:szCs w:val="24"/>
          <w:lang w:val="es-ES" w:eastAsia="es-ES"/>
        </w:rPr>
        <w:t>“Lineamientos Generales para la atención de las Personas en Condición de Vulnerabilidad”.</w:t>
      </w:r>
    </w:p>
    <w:p w14:paraId="6D8BABF6"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2250E74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SAJPPL/15-2020:</w:t>
      </w:r>
      <w:r w:rsidRPr="00BB53C0">
        <w:rPr>
          <w:rFonts w:ascii="Arial" w:eastAsia="Times New Roman" w:hAnsi="Arial" w:cs="Arial"/>
          <w:sz w:val="24"/>
          <w:szCs w:val="24"/>
          <w:lang w:val="es-ES" w:eastAsia="es-ES"/>
        </w:rPr>
        <w:t xml:space="preserve"> El día 7 de octubre, se puso en conocimiento de las personas integrantes de la Subcomisión, la propuesta de Circular: </w:t>
      </w:r>
      <w:r w:rsidRPr="00BB53C0">
        <w:rPr>
          <w:rFonts w:ascii="Arial" w:eastAsia="Times New Roman" w:hAnsi="Arial" w:cs="Arial"/>
          <w:i/>
          <w:iCs/>
          <w:sz w:val="24"/>
          <w:szCs w:val="24"/>
          <w:lang w:val="es-ES" w:eastAsia="es-ES"/>
        </w:rPr>
        <w:t>“Lineamientos Generales para la atención de las Personas en Condición de Vulnerabilidad”</w:t>
      </w:r>
      <w:r w:rsidRPr="00BB53C0">
        <w:rPr>
          <w:rFonts w:ascii="Arial" w:eastAsia="Times New Roman" w:hAnsi="Arial" w:cs="Arial"/>
          <w:sz w:val="24"/>
          <w:szCs w:val="24"/>
          <w:lang w:val="es-ES" w:eastAsia="es-ES"/>
        </w:rPr>
        <w:t>, en atención al oficio CACC- otorgándoseles cinco días para que manifestaran lo pertinente.</w:t>
      </w:r>
    </w:p>
    <w:p w14:paraId="14C5E384"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06B60C6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SAJPPL/16-2020:</w:t>
      </w:r>
      <w:r w:rsidRPr="00BB53C0">
        <w:rPr>
          <w:rFonts w:ascii="Arial" w:eastAsia="Times New Roman" w:hAnsi="Arial" w:cs="Arial"/>
          <w:sz w:val="24"/>
          <w:szCs w:val="24"/>
          <w:lang w:val="es-ES" w:eastAsia="es-ES"/>
        </w:rPr>
        <w:t xml:space="preserve"> El 24 de noviembre del 2020, en atención al Oficio CACC-630-2020, del 23 de noviembre del 2020, se informó a la Unidad de Acceso a la Justicia, que quien participaría por parte de la Subcomisión de Acceso a la Justicia de las Personas Privadas de Libertad, en la capacitación para la despersonalización de datos, sería la señora Sandra Agüero Monge, quien funge como Secretaria de Comisiones.</w:t>
      </w:r>
    </w:p>
    <w:p w14:paraId="1107AAC3"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6E2EA34C"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SAJPPL/17-2020:</w:t>
      </w:r>
      <w:r w:rsidRPr="00BB53C0">
        <w:rPr>
          <w:rFonts w:ascii="Arial" w:eastAsia="Times New Roman" w:hAnsi="Arial" w:cs="Arial"/>
          <w:sz w:val="24"/>
          <w:szCs w:val="24"/>
          <w:lang w:val="es-ES" w:eastAsia="es-ES"/>
        </w:rPr>
        <w:t xml:space="preserve"> El 3 de diciembre del 2020, en atención al Oficio N° 10994-2020, remitido por la Unidad de Acceso a la Justicia, se otorgó audiencia a las personas integrantes de la Subcomisión, para realizar observaciones tendientes a la actualización del informe relacionado con la gestión de la Defensoría de los Habitantes sobre los ataques sufridos por personas que laboran en la defensa de los derechos humanos, elaborado en el año 2018. </w:t>
      </w:r>
    </w:p>
    <w:p w14:paraId="0E3B9E1D" w14:textId="77777777" w:rsidR="003513FD" w:rsidRPr="00BB53C0" w:rsidRDefault="003513FD" w:rsidP="003513FD">
      <w:pPr>
        <w:spacing w:after="0" w:line="360" w:lineRule="auto"/>
        <w:ind w:left="720"/>
        <w:jc w:val="both"/>
        <w:rPr>
          <w:rFonts w:ascii="Arial" w:eastAsia="Times New Roman" w:hAnsi="Arial" w:cs="Arial"/>
          <w:sz w:val="24"/>
          <w:szCs w:val="24"/>
          <w:lang w:val="es-ES"/>
        </w:rPr>
      </w:pPr>
    </w:p>
    <w:p w14:paraId="202D699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N° SAJPPL/18-2020</w:t>
      </w:r>
      <w:r w:rsidRPr="00BB53C0">
        <w:rPr>
          <w:rFonts w:ascii="Arial" w:eastAsia="Times New Roman" w:hAnsi="Arial" w:cs="Arial"/>
          <w:sz w:val="24"/>
          <w:szCs w:val="24"/>
          <w:lang w:val="es-ES" w:eastAsia="es-ES"/>
        </w:rPr>
        <w:t>: El 9 de diciembre del 2020, se dio respuesta al Oficio N° 10994-2020, de la Unidad de Acceso a la Justicia, solicitándose a la Coordinación de dicha Unidad, que si a bien lo tenía, se tomaran en consideración las indicaciones realizadas desde el seno de la Subcomisión, para actualizar el informe relacionado con la gestión de la Defensoría de los Habitantes sobre los ataques sufridos por personas que laboran en la defensa de los derechos humanos.</w:t>
      </w:r>
    </w:p>
    <w:p w14:paraId="0939BD40" w14:textId="77777777" w:rsidR="003513FD" w:rsidRPr="00BB53C0" w:rsidRDefault="003513FD" w:rsidP="003513FD">
      <w:pPr>
        <w:spacing w:after="0" w:line="360" w:lineRule="auto"/>
        <w:ind w:left="720"/>
        <w:rPr>
          <w:rFonts w:ascii="Arial" w:eastAsia="Times New Roman" w:hAnsi="Arial" w:cs="Arial"/>
          <w:sz w:val="24"/>
          <w:szCs w:val="24"/>
          <w:lang w:val="es-ES"/>
        </w:rPr>
      </w:pPr>
    </w:p>
    <w:p w14:paraId="071DF47B" w14:textId="77777777" w:rsidR="003513FD" w:rsidRPr="00BB53C0" w:rsidRDefault="003513FD" w:rsidP="00C10ACE">
      <w:pPr>
        <w:numPr>
          <w:ilvl w:val="0"/>
          <w:numId w:val="7"/>
        </w:numPr>
        <w:spacing w:after="0" w:line="360" w:lineRule="auto"/>
        <w:contextualSpacing/>
        <w:jc w:val="both"/>
        <w:rPr>
          <w:rFonts w:ascii="Arial" w:eastAsiaTheme="minorHAnsi" w:hAnsi="Arial" w:cs="Arial"/>
          <w:b/>
          <w:bCs/>
          <w:sz w:val="24"/>
          <w:szCs w:val="24"/>
          <w:lang w:val="es-ES"/>
        </w:rPr>
      </w:pPr>
      <w:r w:rsidRPr="00BB53C0">
        <w:rPr>
          <w:rFonts w:ascii="Arial" w:eastAsiaTheme="minorHAnsi" w:hAnsi="Arial" w:cs="Arial"/>
          <w:b/>
          <w:bCs/>
          <w:sz w:val="24"/>
          <w:szCs w:val="24"/>
          <w:lang w:val="es-ES"/>
        </w:rPr>
        <w:t xml:space="preserve">Redacción de otros documentos: </w:t>
      </w:r>
    </w:p>
    <w:p w14:paraId="2338B6F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Se diseñó de manera preliminar, una </w:t>
      </w:r>
      <w:r w:rsidRPr="00BB53C0">
        <w:rPr>
          <w:rFonts w:ascii="Arial" w:eastAsia="Times New Roman" w:hAnsi="Arial" w:cs="Arial"/>
          <w:i/>
          <w:iCs/>
          <w:sz w:val="24"/>
          <w:szCs w:val="24"/>
          <w:lang w:val="es-ES" w:eastAsia="es-ES"/>
        </w:rPr>
        <w:t>“Ficha técnica para las iniciativas de la Subcomisión de Acceso a la Justicia para las Personas Privadas de Libertad”,</w:t>
      </w:r>
      <w:r w:rsidRPr="00BB53C0">
        <w:rPr>
          <w:rFonts w:ascii="Arial" w:eastAsia="Times New Roman" w:hAnsi="Arial" w:cs="Arial"/>
          <w:sz w:val="24"/>
          <w:szCs w:val="24"/>
          <w:lang w:val="es-ES" w:eastAsia="es-ES"/>
        </w:rPr>
        <w:t xml:space="preserve"> que contiene distintos rubros: contextualización, justificación, definición de objetivos, actividades y resultados esperados, acciones de visibilidad, cronograma y ruta de trabajo. Dicho documento fue compartido con las personas que integran la Subcomisión y a la fecha, se encuentra en proceso de revisión y aprobación por parte de sus miembros.</w:t>
      </w:r>
    </w:p>
    <w:p w14:paraId="51CF5ED2" w14:textId="77777777" w:rsidR="003513FD" w:rsidRPr="00BB53C0" w:rsidRDefault="003513FD" w:rsidP="003513FD">
      <w:pPr>
        <w:spacing w:after="0" w:line="360" w:lineRule="auto"/>
        <w:ind w:firstLine="708"/>
        <w:jc w:val="both"/>
        <w:rPr>
          <w:rFonts w:ascii="Arial" w:eastAsia="Times New Roman" w:hAnsi="Arial" w:cs="Arial"/>
          <w:b/>
          <w:bCs/>
          <w:sz w:val="24"/>
          <w:szCs w:val="24"/>
          <w:lang w:val="es-ES" w:eastAsia="es-ES"/>
        </w:rPr>
      </w:pPr>
      <w:r w:rsidRPr="00BB53C0">
        <w:rPr>
          <w:rFonts w:ascii="Arial" w:eastAsia="Times New Roman" w:hAnsi="Arial" w:cs="Arial"/>
          <w:sz w:val="24"/>
          <w:szCs w:val="24"/>
          <w:lang w:val="es-ES" w:eastAsia="es-ES"/>
        </w:rPr>
        <w:t>También se está trabajando en la elaboración de un proyecto a mediano o largo plazo, en coordinación con el Ministerio de Justicia, que tiene por meta una mayor eficiencia y coordinación en la programación y desarrollo de audiencias virtuales.</w:t>
      </w:r>
    </w:p>
    <w:p w14:paraId="1B757043" w14:textId="77777777" w:rsidR="003513FD" w:rsidRPr="00BB53C0" w:rsidRDefault="003513FD" w:rsidP="003513FD">
      <w:pPr>
        <w:spacing w:after="0" w:line="360" w:lineRule="auto"/>
        <w:ind w:left="1440"/>
        <w:rPr>
          <w:rFonts w:ascii="Arial" w:eastAsia="Times New Roman" w:hAnsi="Arial" w:cs="Arial"/>
          <w:b/>
          <w:bCs/>
          <w:sz w:val="24"/>
          <w:szCs w:val="24"/>
          <w:lang w:val="es-ES"/>
        </w:rPr>
      </w:pPr>
    </w:p>
    <w:p w14:paraId="0360893E" w14:textId="77777777" w:rsidR="003513FD" w:rsidRPr="00BB53C0" w:rsidRDefault="003513FD" w:rsidP="00C10ACE">
      <w:pPr>
        <w:numPr>
          <w:ilvl w:val="0"/>
          <w:numId w:val="7"/>
        </w:numPr>
        <w:spacing w:after="0" w:line="360" w:lineRule="auto"/>
        <w:contextualSpacing/>
        <w:rPr>
          <w:rFonts w:ascii="Arial" w:eastAsiaTheme="minorHAnsi" w:hAnsi="Arial" w:cs="Arial"/>
          <w:b/>
          <w:bCs/>
          <w:sz w:val="24"/>
          <w:szCs w:val="24"/>
          <w:lang w:val="es-ES"/>
        </w:rPr>
      </w:pPr>
      <w:r w:rsidRPr="00BB53C0">
        <w:rPr>
          <w:rFonts w:ascii="Arial" w:eastAsiaTheme="minorHAnsi" w:hAnsi="Arial" w:cs="Arial"/>
          <w:b/>
          <w:bCs/>
          <w:sz w:val="24"/>
          <w:szCs w:val="24"/>
          <w:lang w:val="es-ES"/>
        </w:rPr>
        <w:t xml:space="preserve">Resultados: </w:t>
      </w:r>
    </w:p>
    <w:p w14:paraId="297DCD44"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La atención de consultas y seguimiento a situaciones planteadas por la Fiscalía de Ejecución y la Defensa Pública. </w:t>
      </w:r>
    </w:p>
    <w:p w14:paraId="5A3876F4"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La elaboración de una propuesta de adición de la Circular del Consejo Superior N° 66-2020, relativa al </w:t>
      </w:r>
      <w:r w:rsidRPr="00BB53C0">
        <w:rPr>
          <w:rFonts w:ascii="Arial" w:eastAsiaTheme="minorHAnsi" w:hAnsi="Arial" w:cs="Arial"/>
          <w:i/>
          <w:iCs/>
          <w:sz w:val="24"/>
          <w:szCs w:val="24"/>
          <w:lang w:val="es-ES"/>
        </w:rPr>
        <w:t xml:space="preserve">“Marco regulatorio general para la tutela del derecho a la salud </w:t>
      </w:r>
      <w:r w:rsidRPr="00BB53C0">
        <w:rPr>
          <w:rFonts w:ascii="Arial" w:eastAsiaTheme="minorHAnsi" w:hAnsi="Arial" w:cs="Arial"/>
          <w:i/>
          <w:iCs/>
          <w:sz w:val="24"/>
          <w:szCs w:val="24"/>
          <w:lang w:val="es-ES"/>
        </w:rPr>
        <w:lastRenderedPageBreak/>
        <w:t>y la vida de las personas servidoras del Poder Judicial, personas usuarias y sus familias y garantizar la continuidad de los de servicios judiciales, con motivo de la emergencia sanitaria provocada por el virus COVID-19”</w:t>
      </w:r>
      <w:r w:rsidRPr="00BB53C0">
        <w:rPr>
          <w:rFonts w:ascii="Arial" w:eastAsiaTheme="minorHAnsi" w:hAnsi="Arial" w:cs="Arial"/>
          <w:sz w:val="24"/>
          <w:szCs w:val="24"/>
          <w:lang w:val="es-ES"/>
        </w:rPr>
        <w:t xml:space="preserve">, que fue aprobada por el Consejo Superior, en sesión N° 55-2020, del 4 de junio del 2020. </w:t>
      </w:r>
    </w:p>
    <w:p w14:paraId="433852E5"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Gestión ante el Consejo Superior, para que dentro de las circulares emitidas, se hiciera una excitativa a los Juzgados y Tribunales de todos los circuitos judiciales, a tomar las medidas necesarias para que las celdas no sobrepasen su capacidad y que en todo momento se respeten las disposiciones sanitarias y los votos emitidos por las diferentes instancias.</w:t>
      </w:r>
    </w:p>
    <w:p w14:paraId="62D0F661"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Solicitud a las Contralorías de Servicios de los diferentes Circuitos Judiciales del país, para que pongan en conocimiento de la Subcomisión, cualquier situación que pueda afectar a la población privada de libertad o apremiada por incumplimiento de su deber alimentario y que pueda constituir una oportunidad de mejora dentro de la administración de justicia (</w:t>
      </w:r>
      <w:bookmarkStart w:id="21" w:name="_Hlk61942383"/>
      <w:r w:rsidRPr="00BB53C0">
        <w:rPr>
          <w:rFonts w:ascii="Arial" w:eastAsiaTheme="minorHAnsi" w:hAnsi="Arial" w:cs="Arial"/>
          <w:sz w:val="24"/>
          <w:szCs w:val="24"/>
          <w:lang w:val="es-ES"/>
        </w:rPr>
        <w:t>Oficio N° SAJPPL/05-2020</w:t>
      </w:r>
      <w:bookmarkEnd w:id="21"/>
      <w:r w:rsidRPr="00BB53C0">
        <w:rPr>
          <w:rFonts w:ascii="Arial" w:eastAsiaTheme="minorHAnsi" w:hAnsi="Arial" w:cs="Arial"/>
          <w:sz w:val="24"/>
          <w:szCs w:val="24"/>
          <w:lang w:val="es-ES"/>
        </w:rPr>
        <w:t>).</w:t>
      </w:r>
    </w:p>
    <w:p w14:paraId="0588C341"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Gestión ante el Despacho de Presidencia de la Corte para que, en representación del Poder Judicial, se trasladara al Ministerio de Justicia y al Ministerio de Salud, para lo que correspondiera, el documento denominado: </w:t>
      </w:r>
      <w:r w:rsidRPr="00BB53C0">
        <w:rPr>
          <w:rFonts w:ascii="Arial" w:eastAsiaTheme="minorHAnsi" w:hAnsi="Arial" w:cs="Arial"/>
          <w:i/>
          <w:iCs/>
          <w:sz w:val="24"/>
          <w:szCs w:val="24"/>
          <w:lang w:val="es-ES"/>
        </w:rPr>
        <w:t>“Mecanismo de visitas carcelarias presenciales en materia de ejecución de la pena en el CAI Vilma Curling en el marco de la pandemia por el Covid-19”</w:t>
      </w:r>
      <w:r w:rsidRPr="00BB53C0">
        <w:rPr>
          <w:rFonts w:ascii="Arial" w:eastAsiaTheme="minorHAnsi" w:hAnsi="Arial" w:cs="Arial"/>
          <w:sz w:val="24"/>
          <w:szCs w:val="24"/>
          <w:lang w:val="es-ES"/>
        </w:rPr>
        <w:t>, elaborado por la Defensa Pública, a fin de dar cumplimiento a lo resuelto por la Sala Constitucional en el voto N° 2020-014289, de las 9:20 horas, del 31 de julio del año en curso (Oficio N° SAJPPL/08-2020).</w:t>
      </w:r>
    </w:p>
    <w:p w14:paraId="6AB74A2F"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Planeación de un proyecto a futuro, en coordinación con el Ministerio de Justicia, que tiene por meta una mayor eficiencia y coordinación en la programación y desarrollo de audiencias virtuales. </w:t>
      </w:r>
    </w:p>
    <w:p w14:paraId="14A5E869"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Propuesta de modificación al </w:t>
      </w:r>
      <w:r w:rsidRPr="00BB53C0">
        <w:rPr>
          <w:rFonts w:ascii="Arial" w:eastAsiaTheme="minorHAnsi" w:hAnsi="Arial" w:cs="Arial"/>
          <w:i/>
          <w:iCs/>
          <w:sz w:val="24"/>
          <w:szCs w:val="24"/>
          <w:lang w:val="es-ES"/>
        </w:rPr>
        <w:t xml:space="preserve">“Estatuto de la Justicia y Derechos de las personas usuarias”, </w:t>
      </w:r>
      <w:r w:rsidRPr="00BB53C0">
        <w:rPr>
          <w:rFonts w:ascii="Arial" w:eastAsiaTheme="minorHAnsi" w:hAnsi="Arial" w:cs="Arial"/>
          <w:sz w:val="24"/>
          <w:szCs w:val="24"/>
          <w:lang w:val="es-ES"/>
        </w:rPr>
        <w:t xml:space="preserve">aprobado en el Acta de Corte Plena N° 039-03 del 20 de octubre del 2013 (IX), a partir de los insumos aportados desde el seno de esta Subcomisión (Oficio N° SAJPPL/09-2020). </w:t>
      </w:r>
    </w:p>
    <w:p w14:paraId="3BD1B6DF"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lastRenderedPageBreak/>
        <w:t>La definición de las metas del PAO para los años 2021 y 2022 en coordinación con la M. Sc. Melissa Benavides, Coordinadora de la Unidad de Acceso a la Justicia.</w:t>
      </w:r>
    </w:p>
    <w:p w14:paraId="776161B9"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Se informó a la Unidad de Acceso a la Justicia, así como a la Secretaría General de la Corte, sobre la efectiva vigencia de la Subcomisión y la necesidad de seguir operando (Oficios N° SAJPPL/11-2020 y </w:t>
      </w:r>
      <w:bookmarkStart w:id="22" w:name="_Hlk56609602"/>
      <w:r w:rsidRPr="00BB53C0">
        <w:rPr>
          <w:rFonts w:ascii="Arial" w:eastAsiaTheme="minorHAnsi" w:hAnsi="Arial" w:cs="Arial"/>
          <w:sz w:val="24"/>
          <w:szCs w:val="24"/>
          <w:lang w:val="es-ES"/>
        </w:rPr>
        <w:t>N° SAJPPL/13-2020</w:t>
      </w:r>
      <w:bookmarkEnd w:id="22"/>
      <w:r w:rsidRPr="00BB53C0">
        <w:rPr>
          <w:rFonts w:ascii="Arial" w:eastAsiaTheme="minorHAnsi" w:hAnsi="Arial" w:cs="Arial"/>
          <w:sz w:val="24"/>
          <w:szCs w:val="24"/>
          <w:lang w:val="es-ES"/>
        </w:rPr>
        <w:t>).</w:t>
      </w:r>
    </w:p>
    <w:p w14:paraId="6DEEF8CE"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 xml:space="preserve">Se envió a la Unidad de Acceso a la Justicia, una propuesta para modificar la Circular denominada: </w:t>
      </w:r>
      <w:r w:rsidRPr="00BB53C0">
        <w:rPr>
          <w:rFonts w:ascii="Arial" w:eastAsiaTheme="minorHAnsi" w:hAnsi="Arial" w:cs="Arial"/>
          <w:i/>
          <w:iCs/>
          <w:sz w:val="24"/>
          <w:szCs w:val="24"/>
          <w:lang w:val="es-ES"/>
        </w:rPr>
        <w:t>“Lineamientos Generales para la Atención de las diferentes Poblaciones en Condición de Vulnerabilidad en los Servicios del Poder Judicial de Costa Rica</w:t>
      </w:r>
      <w:r w:rsidRPr="00BB53C0">
        <w:rPr>
          <w:rFonts w:ascii="Arial" w:eastAsiaTheme="minorHAnsi" w:hAnsi="Arial" w:cs="Arial"/>
          <w:sz w:val="24"/>
          <w:szCs w:val="24"/>
          <w:lang w:val="es-ES"/>
        </w:rPr>
        <w:t>” (Oficio N° SAJPPL/14-2020)</w:t>
      </w:r>
    </w:p>
    <w:p w14:paraId="03CBE7C2"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P</w:t>
      </w:r>
      <w:r w:rsidRPr="00BB53C0">
        <w:rPr>
          <w:rFonts w:ascii="Arial" w:eastAsia="Times New Roman" w:hAnsi="Arial" w:cs="Arial"/>
          <w:sz w:val="24"/>
          <w:szCs w:val="24"/>
          <w:lang w:val="es-ES"/>
        </w:rPr>
        <w:t>articipación en la</w:t>
      </w:r>
      <w:r w:rsidRPr="00BB53C0">
        <w:rPr>
          <w:rFonts w:ascii="Arial" w:eastAsiaTheme="minorHAnsi" w:hAnsi="Arial" w:cs="Arial"/>
          <w:sz w:val="24"/>
          <w:szCs w:val="24"/>
          <w:lang w:val="es-ES"/>
        </w:rPr>
        <w:t xml:space="preserve"> elaboración de la propuesta de </w:t>
      </w:r>
      <w:bookmarkStart w:id="23" w:name="_Hlk52878726"/>
      <w:r w:rsidRPr="00BB53C0">
        <w:rPr>
          <w:rFonts w:ascii="Arial" w:eastAsiaTheme="minorHAnsi" w:hAnsi="Arial" w:cs="Arial"/>
          <w:i/>
          <w:iCs/>
          <w:sz w:val="24"/>
          <w:szCs w:val="24"/>
          <w:lang w:val="es-ES"/>
        </w:rPr>
        <w:t>“Reforma integral al Reglamento General de Comisiones del Poder Judicial”</w:t>
      </w:r>
      <w:r w:rsidRPr="00BB53C0">
        <w:rPr>
          <w:rFonts w:ascii="Arial" w:eastAsiaTheme="minorHAnsi" w:hAnsi="Arial" w:cs="Arial"/>
          <w:sz w:val="24"/>
          <w:szCs w:val="24"/>
          <w:lang w:val="es-ES"/>
        </w:rPr>
        <w:t xml:space="preserve">, </w:t>
      </w:r>
      <w:bookmarkEnd w:id="23"/>
      <w:r w:rsidRPr="00BB53C0">
        <w:rPr>
          <w:rFonts w:ascii="Arial" w:eastAsiaTheme="minorHAnsi" w:hAnsi="Arial" w:cs="Arial"/>
          <w:sz w:val="24"/>
          <w:szCs w:val="24"/>
          <w:lang w:val="es-ES"/>
        </w:rPr>
        <w:t>enviada por la Dirección Jurídica, mediante el Oficio N° DJ-AJ-1911-2016, con el fin de realizar las observaciones que se estimaran necesarias, para que pudiera ser conocido por Corte Plena en sesión del lunes 12 de octubre de 2020.</w:t>
      </w:r>
    </w:p>
    <w:p w14:paraId="4086A6C3"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imes New Roman" w:hAnsi="Arial" w:cs="Arial"/>
          <w:sz w:val="24"/>
          <w:szCs w:val="24"/>
          <w:lang w:val="es-ES"/>
        </w:rPr>
        <w:t>S</w:t>
      </w:r>
      <w:r w:rsidRPr="00BB53C0">
        <w:rPr>
          <w:rFonts w:ascii="Arial" w:eastAsiaTheme="minorHAnsi" w:hAnsi="Arial" w:cs="Arial"/>
          <w:sz w:val="24"/>
          <w:szCs w:val="24"/>
          <w:lang w:val="es-ES"/>
        </w:rPr>
        <w:t xml:space="preserve">e diseñó de manera preliminar, una </w:t>
      </w:r>
      <w:r w:rsidRPr="00BB53C0">
        <w:rPr>
          <w:rFonts w:ascii="Arial" w:eastAsiaTheme="minorHAnsi" w:hAnsi="Arial" w:cs="Arial"/>
          <w:i/>
          <w:iCs/>
          <w:sz w:val="24"/>
          <w:szCs w:val="24"/>
          <w:lang w:val="es-ES"/>
        </w:rPr>
        <w:t>“Ficha técnica para las iniciativas de la Subcomisión de Acceso a la Justicia para las Personas Privadas de Libertad”</w:t>
      </w:r>
      <w:r w:rsidRPr="00BB53C0">
        <w:rPr>
          <w:rFonts w:ascii="Arial" w:eastAsiaTheme="minorHAnsi" w:hAnsi="Arial" w:cs="Arial"/>
          <w:sz w:val="24"/>
          <w:szCs w:val="24"/>
          <w:lang w:val="es-ES"/>
        </w:rPr>
        <w:t>, que contiene distintos rubros: contextualización, justificación, definición de objetivos, actividades y resultados esperados, acciones de visibilidad, cronograma y ruta de trabajo. Dicho documento fue compartido con las personas que integran la Subcomisión y a la fecha, se encuentra en proceso de revisión y aprobación por parte de sus miembros.</w:t>
      </w:r>
    </w:p>
    <w:p w14:paraId="08B863E8" w14:textId="77777777" w:rsidR="003513FD" w:rsidRPr="00BB53C0" w:rsidRDefault="003513FD" w:rsidP="00C10ACE">
      <w:pPr>
        <w:numPr>
          <w:ilvl w:val="0"/>
          <w:numId w:val="4"/>
        </w:numPr>
        <w:spacing w:before="120" w:after="120" w:line="360" w:lineRule="auto"/>
        <w:contextualSpacing/>
        <w:jc w:val="both"/>
        <w:rPr>
          <w:rFonts w:ascii="Arial" w:eastAsiaTheme="minorHAnsi" w:hAnsi="Arial" w:cs="Arial"/>
          <w:sz w:val="24"/>
          <w:szCs w:val="24"/>
          <w:lang w:val="es-ES"/>
        </w:rPr>
      </w:pPr>
      <w:r w:rsidRPr="00BB53C0">
        <w:rPr>
          <w:rFonts w:ascii="Arial" w:eastAsiaTheme="minorHAnsi" w:hAnsi="Arial" w:cs="Arial"/>
          <w:sz w:val="24"/>
          <w:szCs w:val="24"/>
          <w:lang w:val="es-ES"/>
        </w:rPr>
        <w:t>Se remitió a la Unidad de Acceso a la Justicia, un oficio con las observaciones realizadas desde el seno de la Subcomisión, tendientes a actualizar el Informe en relación con una gestión de la Defensoría de los Habitantes, sobre los ataques sufridos por personas que laboran en la defensa de los derechos humanos (Oficio N° SAJPPL/18-2020).</w:t>
      </w:r>
    </w:p>
    <w:p w14:paraId="24DD5F53" w14:textId="06F42523" w:rsidR="003513FD" w:rsidRDefault="003513FD" w:rsidP="003513FD">
      <w:pPr>
        <w:spacing w:before="120" w:after="120" w:line="360" w:lineRule="auto"/>
        <w:ind w:left="720"/>
        <w:contextualSpacing/>
        <w:rPr>
          <w:rFonts w:ascii="Arial" w:eastAsiaTheme="minorHAnsi" w:hAnsi="Arial" w:cs="Arial"/>
          <w:sz w:val="24"/>
          <w:szCs w:val="24"/>
          <w:lang w:val="es-ES"/>
        </w:rPr>
      </w:pPr>
    </w:p>
    <w:p w14:paraId="5F41753F" w14:textId="6D3BECCE" w:rsidR="00DF2AA7" w:rsidRDefault="00DF2AA7" w:rsidP="003513FD">
      <w:pPr>
        <w:spacing w:before="120" w:after="120" w:line="360" w:lineRule="auto"/>
        <w:ind w:left="720"/>
        <w:contextualSpacing/>
        <w:rPr>
          <w:rFonts w:ascii="Arial" w:eastAsiaTheme="minorHAnsi" w:hAnsi="Arial" w:cs="Arial"/>
          <w:sz w:val="24"/>
          <w:szCs w:val="24"/>
          <w:lang w:val="es-ES"/>
        </w:rPr>
      </w:pPr>
    </w:p>
    <w:p w14:paraId="2EF8872F" w14:textId="0F66E2BB" w:rsidR="00DF2AA7" w:rsidRDefault="00DF2AA7" w:rsidP="003513FD">
      <w:pPr>
        <w:spacing w:before="120" w:after="120" w:line="360" w:lineRule="auto"/>
        <w:ind w:left="720"/>
        <w:contextualSpacing/>
        <w:rPr>
          <w:rFonts w:ascii="Arial" w:eastAsiaTheme="minorHAnsi" w:hAnsi="Arial" w:cs="Arial"/>
          <w:sz w:val="24"/>
          <w:szCs w:val="24"/>
          <w:lang w:val="es-ES"/>
        </w:rPr>
      </w:pPr>
    </w:p>
    <w:p w14:paraId="7914CC70" w14:textId="77777777" w:rsidR="00DF2AA7" w:rsidRPr="00BB53C0" w:rsidRDefault="00DF2AA7" w:rsidP="003513FD">
      <w:pPr>
        <w:spacing w:before="120" w:after="120" w:line="360" w:lineRule="auto"/>
        <w:ind w:left="720"/>
        <w:contextualSpacing/>
        <w:rPr>
          <w:rFonts w:ascii="Arial" w:eastAsiaTheme="minorHAnsi" w:hAnsi="Arial" w:cs="Arial"/>
          <w:sz w:val="24"/>
          <w:szCs w:val="24"/>
          <w:lang w:val="es-ES"/>
        </w:rPr>
      </w:pPr>
    </w:p>
    <w:p w14:paraId="5B9EB4CA" w14:textId="7FFF3062" w:rsidR="003513FD" w:rsidRPr="008D6AC5" w:rsidRDefault="003513FD" w:rsidP="00C10ACE">
      <w:pPr>
        <w:pStyle w:val="Prrafodelista"/>
        <w:numPr>
          <w:ilvl w:val="0"/>
          <w:numId w:val="24"/>
        </w:numPr>
        <w:spacing w:after="0" w:line="360" w:lineRule="auto"/>
        <w:rPr>
          <w:rFonts w:ascii="Arial" w:eastAsiaTheme="minorHAnsi" w:hAnsi="Arial" w:cs="Arial"/>
          <w:b/>
          <w:bCs/>
          <w:sz w:val="24"/>
          <w:szCs w:val="24"/>
          <w:u w:val="single"/>
          <w:lang w:val="es-ES"/>
        </w:rPr>
      </w:pPr>
      <w:r w:rsidRPr="008D6AC5">
        <w:rPr>
          <w:rFonts w:ascii="Arial" w:eastAsiaTheme="minorHAnsi" w:hAnsi="Arial" w:cs="Arial"/>
          <w:b/>
          <w:bCs/>
          <w:sz w:val="24"/>
          <w:szCs w:val="24"/>
          <w:u w:val="single"/>
          <w:lang w:val="es-ES"/>
        </w:rPr>
        <w:lastRenderedPageBreak/>
        <w:t>Consejo Judicial Centroamericano y del Caribe:</w:t>
      </w:r>
    </w:p>
    <w:p w14:paraId="728A87B7" w14:textId="77777777" w:rsidR="003513FD" w:rsidRPr="00BB53C0" w:rsidRDefault="003513FD" w:rsidP="003513FD">
      <w:pPr>
        <w:spacing w:after="160" w:line="360" w:lineRule="auto"/>
        <w:ind w:left="1440"/>
        <w:contextualSpacing/>
        <w:rPr>
          <w:rFonts w:ascii="Arial" w:eastAsiaTheme="minorHAnsi" w:hAnsi="Arial" w:cs="Arial"/>
          <w:b/>
          <w:bCs/>
          <w:sz w:val="24"/>
          <w:szCs w:val="24"/>
          <w:lang w:val="es-ES"/>
        </w:rPr>
      </w:pPr>
    </w:p>
    <w:p w14:paraId="47856B9F" w14:textId="77777777" w:rsidR="003513FD" w:rsidRPr="00BB53C0" w:rsidRDefault="003513FD" w:rsidP="003513FD">
      <w:pPr>
        <w:spacing w:after="160" w:line="360" w:lineRule="auto"/>
        <w:ind w:left="1440"/>
        <w:contextualSpacing/>
        <w:rPr>
          <w:rFonts w:ascii="Arial" w:eastAsiaTheme="minorHAnsi" w:hAnsi="Arial" w:cs="Arial"/>
          <w:sz w:val="24"/>
          <w:szCs w:val="24"/>
          <w:lang w:val="es-ES"/>
        </w:rPr>
      </w:pPr>
      <w:r w:rsidRPr="00BB53C0">
        <w:rPr>
          <w:rFonts w:ascii="Arial" w:eastAsiaTheme="minorHAnsi" w:hAnsi="Arial" w:cs="Arial"/>
          <w:b/>
          <w:bCs/>
          <w:sz w:val="24"/>
          <w:szCs w:val="24"/>
          <w:lang w:val="es-ES"/>
        </w:rPr>
        <w:t xml:space="preserve">a. </w:t>
      </w:r>
      <w:r w:rsidRPr="00BB53C0">
        <w:rPr>
          <w:rFonts w:ascii="Arial" w:eastAsiaTheme="minorHAnsi" w:hAnsi="Arial" w:cs="Arial"/>
          <w:sz w:val="24"/>
          <w:szCs w:val="24"/>
          <w:lang w:val="es-ES"/>
        </w:rPr>
        <w:t xml:space="preserve">Convocatorias a reunión y participación en reuniones </w:t>
      </w:r>
    </w:p>
    <w:p w14:paraId="647E7B37" w14:textId="77777777" w:rsidR="003513FD" w:rsidRPr="00BB53C0" w:rsidRDefault="003513FD" w:rsidP="003513FD">
      <w:pPr>
        <w:spacing w:after="0" w:line="360" w:lineRule="auto"/>
        <w:ind w:left="644" w:firstLine="708"/>
        <w:rPr>
          <w:rFonts w:ascii="Arial" w:eastAsia="Times New Roman" w:hAnsi="Arial" w:cs="Arial"/>
          <w:b/>
          <w:bCs/>
          <w:sz w:val="24"/>
          <w:szCs w:val="24"/>
          <w:u w:val="single"/>
          <w:lang w:val="es-ES" w:eastAsia="es-ES"/>
        </w:rPr>
      </w:pPr>
    </w:p>
    <w:p w14:paraId="6349DF9E" w14:textId="77777777" w:rsidR="003513FD" w:rsidRPr="00BB53C0" w:rsidRDefault="003513FD" w:rsidP="003513FD">
      <w:pPr>
        <w:spacing w:after="0" w:line="360" w:lineRule="auto"/>
        <w:ind w:firstLine="709"/>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  </w:t>
      </w:r>
      <w:r w:rsidRPr="00BB53C0">
        <w:rPr>
          <w:rFonts w:ascii="Arial" w:eastAsia="Times New Roman" w:hAnsi="Arial" w:cs="Arial"/>
          <w:sz w:val="24"/>
          <w:szCs w:val="24"/>
          <w:lang w:val="es-ES" w:eastAsia="es-ES"/>
        </w:rPr>
        <w:t>Miércoles 4 de noviembre de 2020</w:t>
      </w:r>
    </w:p>
    <w:p w14:paraId="2414AD28" w14:textId="77777777" w:rsidR="003513FD" w:rsidRPr="00BB53C0" w:rsidRDefault="003513FD" w:rsidP="003513FD">
      <w:pPr>
        <w:spacing w:after="0" w:line="360" w:lineRule="auto"/>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48439B91"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 Morales</w:t>
      </w:r>
    </w:p>
    <w:p w14:paraId="64B3E0D1"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Román Solís Zelaya</w:t>
      </w:r>
    </w:p>
    <w:p w14:paraId="63C49547"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Gerardo Rubén Alfaro Vargas</w:t>
      </w:r>
    </w:p>
    <w:p w14:paraId="079FBF7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Karen Leiva Chavarría</w:t>
      </w:r>
    </w:p>
    <w:p w14:paraId="168085E2"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Daniela Guevara Walker</w:t>
      </w:r>
    </w:p>
    <w:p w14:paraId="5B9CE02E"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Ingrid Bermúdez Vindas</w:t>
      </w:r>
    </w:p>
    <w:p w14:paraId="2C511D9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Yessenia Campos Álvarez</w:t>
      </w:r>
    </w:p>
    <w:p w14:paraId="3EE87A9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Melissa Benavides Víquez</w:t>
      </w:r>
    </w:p>
    <w:p w14:paraId="77B34200"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Rebeca Guardia Morales</w:t>
      </w:r>
    </w:p>
    <w:p w14:paraId="32F7E9B8"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Jovanna Calderón Altamirano</w:t>
      </w:r>
    </w:p>
    <w:p w14:paraId="6BCE0B16"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Mediante correo electrónico remitido el 30 de octubre del 2020,  con instrucciones del señor Magistrado Román Solís Zelaya, Punto de Contacto ante el Consejo Judicial Centroamericano y del Caribe, el señor Yonathan Alfaro Agüero remitió el Oficio 66-RI-OCRI-2020, del 30 de octubre del 2020, mediante el cual, se convocó a una reunión virtual el miércoles 04 de noviembre de 2020, con el objetivo de conversar sobre las acciones realizadas por el Grupo Especializado de Combate al Delito, y así contar con insumos e información de cara a la participación institucional en la Sesión Ordinaria del Consejo.</w:t>
      </w:r>
    </w:p>
    <w:p w14:paraId="5A8C43A0" w14:textId="77777777" w:rsidR="003513FD" w:rsidRPr="00BB53C0" w:rsidRDefault="003513FD" w:rsidP="003513FD">
      <w:pPr>
        <w:spacing w:after="0" w:line="360" w:lineRule="auto"/>
        <w:ind w:firstLine="709"/>
        <w:rPr>
          <w:rFonts w:ascii="Arial" w:eastAsia="Times New Roman" w:hAnsi="Arial" w:cs="Arial"/>
          <w:sz w:val="24"/>
          <w:szCs w:val="24"/>
          <w:lang w:val="es-ES" w:eastAsia="es-ES"/>
        </w:rPr>
      </w:pPr>
    </w:p>
    <w:p w14:paraId="520B3C0C" w14:textId="77777777" w:rsidR="003513FD" w:rsidRPr="00BB53C0" w:rsidRDefault="003513FD" w:rsidP="003513FD">
      <w:pPr>
        <w:spacing w:after="0" w:line="360" w:lineRule="auto"/>
        <w:ind w:left="708" w:firstLine="708"/>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b. Redacción de oficios</w:t>
      </w:r>
      <w:r w:rsidRPr="00BB53C0">
        <w:rPr>
          <w:rFonts w:ascii="Arial" w:eastAsia="Times New Roman" w:hAnsi="Arial" w:cs="Arial"/>
          <w:sz w:val="24"/>
          <w:szCs w:val="24"/>
          <w:lang w:val="es-ES" w:eastAsia="es-ES"/>
        </w:rPr>
        <w:t>:</w:t>
      </w:r>
    </w:p>
    <w:p w14:paraId="140B79EB" w14:textId="77777777" w:rsidR="003513FD" w:rsidRPr="00BB53C0" w:rsidRDefault="003513FD" w:rsidP="003513FD">
      <w:pPr>
        <w:tabs>
          <w:tab w:val="center" w:pos="4419"/>
          <w:tab w:val="right" w:pos="8838"/>
        </w:tabs>
        <w:spacing w:after="0" w:line="360" w:lineRule="auto"/>
        <w:jc w:val="both"/>
        <w:rPr>
          <w:rFonts w:ascii="Arial" w:eastAsia="Times New Roman" w:hAnsi="Arial" w:cs="Arial"/>
          <w:b/>
          <w:bCs/>
          <w:w w:val="95"/>
          <w:sz w:val="24"/>
          <w:szCs w:val="24"/>
          <w:lang w:val="es-ES" w:eastAsia="es-ES"/>
        </w:rPr>
      </w:pPr>
      <w:bookmarkStart w:id="24" w:name="_Hlk39580281"/>
      <w:r w:rsidRPr="00BB53C0">
        <w:rPr>
          <w:rFonts w:ascii="Arial" w:eastAsia="Times New Roman" w:hAnsi="Arial" w:cs="Arial"/>
          <w:b/>
          <w:bCs/>
          <w:w w:val="95"/>
          <w:sz w:val="24"/>
          <w:szCs w:val="24"/>
          <w:lang w:val="es-ES" w:eastAsia="es-ES"/>
        </w:rPr>
        <w:tab/>
      </w:r>
    </w:p>
    <w:p w14:paraId="1750F2E2" w14:textId="77777777" w:rsidR="003513FD" w:rsidRPr="00BB53C0" w:rsidRDefault="003513FD" w:rsidP="003513FD">
      <w:pPr>
        <w:tabs>
          <w:tab w:val="center" w:pos="4419"/>
          <w:tab w:val="right" w:pos="8838"/>
        </w:tabs>
        <w:spacing w:after="0" w:line="360" w:lineRule="auto"/>
        <w:jc w:val="both"/>
        <w:rPr>
          <w:rFonts w:ascii="Arial" w:eastAsia="Times New Roman" w:hAnsi="Arial" w:cs="Arial"/>
          <w:w w:val="95"/>
          <w:sz w:val="24"/>
          <w:szCs w:val="24"/>
          <w:lang w:val="es-ES" w:eastAsia="es-ES"/>
        </w:rPr>
      </w:pPr>
      <w:r w:rsidRPr="00BB53C0">
        <w:rPr>
          <w:rFonts w:ascii="Arial" w:eastAsia="Times New Roman" w:hAnsi="Arial" w:cs="Arial"/>
          <w:b/>
          <w:bCs/>
          <w:w w:val="95"/>
          <w:sz w:val="24"/>
          <w:szCs w:val="24"/>
          <w:lang w:val="es-ES" w:eastAsia="es-ES"/>
        </w:rPr>
        <w:tab/>
        <w:t xml:space="preserve">               Oficio N° CJCC-GET-CAL/01-2020: </w:t>
      </w:r>
      <w:r w:rsidRPr="00BB53C0">
        <w:rPr>
          <w:rFonts w:ascii="Arial" w:eastAsia="Times New Roman" w:hAnsi="Arial" w:cs="Arial"/>
          <w:w w:val="95"/>
          <w:sz w:val="24"/>
          <w:szCs w:val="24"/>
          <w:lang w:val="es-ES" w:eastAsia="es-ES"/>
        </w:rPr>
        <w:t xml:space="preserve">El 14 de agosto de 2020, se le solicitó a la señora Karen Leiva Chavarría, de la Oficina de Cooperación y Relaciones Internacionales del Poder Judicial que indicara, si a la fecha, existían gestiones pendientes o algún asunto </w:t>
      </w:r>
      <w:r w:rsidRPr="00BB53C0">
        <w:rPr>
          <w:rFonts w:ascii="Arial" w:eastAsia="Times New Roman" w:hAnsi="Arial" w:cs="Arial"/>
          <w:w w:val="95"/>
          <w:sz w:val="24"/>
          <w:szCs w:val="24"/>
          <w:lang w:val="es-ES" w:eastAsia="es-ES"/>
        </w:rPr>
        <w:lastRenderedPageBreak/>
        <w:t>agendado que debiera ser atendido por parte del GET Combate al Delito, con el fin de tomar medidas necesarias y oportunas para su cumplimiento.</w:t>
      </w:r>
    </w:p>
    <w:p w14:paraId="178278A8" w14:textId="77777777" w:rsidR="003513FD" w:rsidRPr="00BB53C0" w:rsidRDefault="003513FD" w:rsidP="003513FD">
      <w:pPr>
        <w:tabs>
          <w:tab w:val="center" w:pos="4419"/>
          <w:tab w:val="right" w:pos="8838"/>
        </w:tabs>
        <w:spacing w:after="0" w:line="360" w:lineRule="auto"/>
        <w:jc w:val="both"/>
        <w:rPr>
          <w:rFonts w:ascii="Arial" w:eastAsia="Times New Roman" w:hAnsi="Arial" w:cs="Arial"/>
          <w:w w:val="95"/>
          <w:sz w:val="24"/>
          <w:szCs w:val="24"/>
          <w:lang w:val="es-ES" w:eastAsia="es-ES"/>
        </w:rPr>
      </w:pPr>
    </w:p>
    <w:p w14:paraId="035B937C" w14:textId="77777777" w:rsidR="003513FD" w:rsidRPr="00BB53C0" w:rsidRDefault="003513FD" w:rsidP="003513FD">
      <w:pPr>
        <w:tabs>
          <w:tab w:val="center" w:pos="4419"/>
          <w:tab w:val="right" w:pos="8838"/>
        </w:tabs>
        <w:spacing w:after="0" w:line="360" w:lineRule="auto"/>
        <w:jc w:val="both"/>
        <w:rPr>
          <w:rFonts w:ascii="Arial" w:eastAsia="Times New Roman" w:hAnsi="Arial" w:cs="Arial"/>
          <w:w w:val="95"/>
          <w:sz w:val="24"/>
          <w:szCs w:val="24"/>
          <w:lang w:val="es-ES" w:eastAsia="es-ES"/>
        </w:rPr>
      </w:pPr>
      <w:r w:rsidRPr="00BB53C0">
        <w:rPr>
          <w:rFonts w:ascii="Arial" w:eastAsia="Times New Roman" w:hAnsi="Arial" w:cs="Arial"/>
          <w:b/>
          <w:bCs/>
          <w:w w:val="95"/>
          <w:sz w:val="24"/>
          <w:szCs w:val="24"/>
          <w:lang w:val="es-ES" w:eastAsia="es-ES"/>
        </w:rPr>
        <w:tab/>
        <w:t xml:space="preserve">               Oficio N° CJCC-GET-CAL/02-2020</w:t>
      </w:r>
      <w:bookmarkEnd w:id="24"/>
      <w:r w:rsidRPr="00BB53C0">
        <w:rPr>
          <w:rFonts w:ascii="Arial" w:eastAsia="Times New Roman" w:hAnsi="Arial" w:cs="Arial"/>
          <w:b/>
          <w:bCs/>
          <w:w w:val="95"/>
          <w:sz w:val="24"/>
          <w:szCs w:val="24"/>
          <w:lang w:val="es-ES" w:eastAsia="es-ES"/>
        </w:rPr>
        <w:t>:</w:t>
      </w:r>
      <w:r w:rsidRPr="00BB53C0">
        <w:rPr>
          <w:rFonts w:ascii="Arial" w:eastAsia="Times New Roman" w:hAnsi="Arial" w:cs="Arial"/>
          <w:w w:val="95"/>
          <w:sz w:val="24"/>
          <w:szCs w:val="24"/>
          <w:lang w:val="es-ES" w:eastAsia="es-ES"/>
        </w:rPr>
        <w:t xml:space="preserve"> El 16 de octubre de 2020, se le envió a Karen Betzabeth Cobos Bran, Coordinadora Área de Asuntos Interinstitucionales, de la Secretaría de Fortalecimiento Judicial y Cooperación, acuse de recibo del informe final de la gestión realizada por el señor Coordinador del GET Combate al Delito, Magistrado Edwin Roberto Ruano Martínez, informándose de la imposibilidad de la Mag. Zúñiga de asistir a la reunión prevista para el próximo 26 de octubre, por tener sesión de Corte Plena.</w:t>
      </w:r>
    </w:p>
    <w:p w14:paraId="6B35B657" w14:textId="77777777" w:rsidR="003513FD" w:rsidRPr="00BB53C0" w:rsidRDefault="003513FD" w:rsidP="003513FD">
      <w:pPr>
        <w:tabs>
          <w:tab w:val="center" w:pos="4419"/>
          <w:tab w:val="right" w:pos="8838"/>
        </w:tabs>
        <w:spacing w:after="0" w:line="360" w:lineRule="auto"/>
        <w:jc w:val="both"/>
        <w:rPr>
          <w:rFonts w:ascii="Arial" w:eastAsia="Times New Roman" w:hAnsi="Arial" w:cs="Arial"/>
          <w:w w:val="95"/>
          <w:sz w:val="24"/>
          <w:szCs w:val="24"/>
          <w:lang w:val="es-ES" w:eastAsia="es-ES"/>
        </w:rPr>
      </w:pPr>
    </w:p>
    <w:p w14:paraId="06A10D96" w14:textId="77777777" w:rsidR="003513FD" w:rsidRPr="00BB53C0" w:rsidRDefault="003513FD" w:rsidP="003513FD">
      <w:pPr>
        <w:tabs>
          <w:tab w:val="center" w:pos="4419"/>
          <w:tab w:val="right" w:pos="8838"/>
        </w:tabs>
        <w:spacing w:after="0" w:line="360" w:lineRule="auto"/>
        <w:jc w:val="both"/>
        <w:rPr>
          <w:rFonts w:ascii="Arial" w:eastAsia="Times New Roman" w:hAnsi="Arial" w:cs="Arial"/>
          <w:w w:val="95"/>
          <w:sz w:val="24"/>
          <w:szCs w:val="24"/>
          <w:lang w:val="es-ES" w:eastAsia="es-ES"/>
        </w:rPr>
      </w:pPr>
      <w:r w:rsidRPr="00BB53C0">
        <w:rPr>
          <w:rFonts w:ascii="Arial" w:eastAsia="Times New Roman" w:hAnsi="Arial" w:cs="Arial"/>
          <w:b/>
          <w:bCs/>
          <w:w w:val="95"/>
          <w:sz w:val="24"/>
          <w:szCs w:val="24"/>
          <w:lang w:val="es-ES" w:eastAsia="es-ES"/>
        </w:rPr>
        <w:tab/>
        <w:t xml:space="preserve">              Oficio N° CJCC-GET-CAL/03-2020:</w:t>
      </w:r>
      <w:r w:rsidRPr="00BB53C0">
        <w:rPr>
          <w:rFonts w:ascii="Arial" w:eastAsia="Times New Roman" w:hAnsi="Arial" w:cs="Arial"/>
          <w:w w:val="95"/>
          <w:sz w:val="24"/>
          <w:szCs w:val="24"/>
          <w:lang w:val="es-ES" w:eastAsia="es-ES"/>
        </w:rPr>
        <w:t xml:space="preserve"> El 27 de noviembre de 2020, se remitió a la señora Karen Leiva Chavarría, Jefa a.i. Oficina de Cooperación y Relaciones Internacionales del Poder Judicial, en atención al correo electrónico del día 11 de noviembre, correspondiente al oficio N° 76-RI-OCRI-2020, las observaciones realizadas al Tratado de Asistencia Legal Mutua en Asuntos Penales entre las Repúblicas de Costa Rica, El Salvador, Guatemala, Honduras, Nicaragua y Panamá, aprobado el 29 de octubre de 1993.</w:t>
      </w:r>
    </w:p>
    <w:p w14:paraId="6B92EF35" w14:textId="77777777" w:rsidR="003513FD" w:rsidRPr="00BB53C0" w:rsidRDefault="003513FD" w:rsidP="003513FD">
      <w:pPr>
        <w:tabs>
          <w:tab w:val="center" w:pos="4419"/>
          <w:tab w:val="right" w:pos="8838"/>
        </w:tabs>
        <w:spacing w:after="0" w:line="360" w:lineRule="auto"/>
        <w:jc w:val="both"/>
        <w:rPr>
          <w:rFonts w:ascii="Arial" w:eastAsia="Times New Roman" w:hAnsi="Arial" w:cs="Arial"/>
          <w:w w:val="95"/>
          <w:sz w:val="24"/>
          <w:szCs w:val="24"/>
          <w:lang w:val="es-ES" w:eastAsia="es-ES"/>
        </w:rPr>
      </w:pPr>
    </w:p>
    <w:p w14:paraId="7EEFBB89" w14:textId="77777777" w:rsidR="003513FD" w:rsidRPr="00BB53C0" w:rsidRDefault="003513FD" w:rsidP="003513FD">
      <w:pPr>
        <w:tabs>
          <w:tab w:val="center" w:pos="4419"/>
          <w:tab w:val="right" w:pos="8838"/>
        </w:tabs>
        <w:spacing w:after="0" w:line="360" w:lineRule="auto"/>
        <w:jc w:val="both"/>
        <w:rPr>
          <w:rFonts w:ascii="Arial" w:eastAsia="Times New Roman" w:hAnsi="Arial" w:cs="Arial"/>
          <w:b/>
          <w:bCs/>
          <w:w w:val="95"/>
          <w:sz w:val="24"/>
          <w:szCs w:val="24"/>
          <w:lang w:val="es-ES" w:eastAsia="es-ES"/>
        </w:rPr>
      </w:pPr>
      <w:r w:rsidRPr="00BB53C0">
        <w:rPr>
          <w:rFonts w:ascii="Arial" w:eastAsia="Times New Roman" w:hAnsi="Arial" w:cs="Arial"/>
          <w:b/>
          <w:bCs/>
          <w:w w:val="95"/>
          <w:sz w:val="24"/>
          <w:szCs w:val="24"/>
          <w:lang w:val="es-ES" w:eastAsia="es-ES"/>
        </w:rPr>
        <w:tab/>
        <w:t xml:space="preserve">               Oficio N° CJCC-GET-CAL/04-2020: </w:t>
      </w:r>
      <w:r w:rsidRPr="00BB53C0">
        <w:rPr>
          <w:rFonts w:ascii="Arial" w:eastAsia="Times New Roman" w:hAnsi="Arial" w:cs="Arial"/>
          <w:w w:val="95"/>
          <w:sz w:val="24"/>
          <w:szCs w:val="24"/>
          <w:lang w:val="es-ES" w:eastAsia="es-ES"/>
        </w:rPr>
        <w:t>El 4 de diciembre del 2020, se comunicaron al Señor Fernando Cruz Castro, los aspectos abordados durante la reunión de coordinación intersectorial convocada por el Ministerio de Relaciones Exteriores y Culto, en ocasión de informar que Costa Rica ostentará la Presidencia Pro Témpore del Sistema de la Integración Centroamericana (SICA) de enero a julio del 2021.</w:t>
      </w:r>
    </w:p>
    <w:p w14:paraId="4DFA7D91" w14:textId="77777777" w:rsidR="003513FD" w:rsidRPr="00BB53C0" w:rsidRDefault="003513FD" w:rsidP="003513FD">
      <w:pPr>
        <w:spacing w:after="0" w:line="360" w:lineRule="auto"/>
        <w:ind w:firstLine="708"/>
        <w:rPr>
          <w:rFonts w:ascii="Arial" w:eastAsia="Times New Roman" w:hAnsi="Arial" w:cs="Arial"/>
          <w:b/>
          <w:bCs/>
          <w:sz w:val="24"/>
          <w:szCs w:val="24"/>
          <w:lang w:val="es-ES" w:eastAsia="es-ES"/>
        </w:rPr>
      </w:pPr>
    </w:p>
    <w:p w14:paraId="1DAFF4D3" w14:textId="77777777" w:rsidR="003513FD" w:rsidRPr="00BB53C0" w:rsidRDefault="003513FD" w:rsidP="003513FD">
      <w:pPr>
        <w:spacing w:after="0" w:line="360" w:lineRule="auto"/>
        <w:ind w:firstLine="708"/>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c. Resultados:</w:t>
      </w:r>
    </w:p>
    <w:p w14:paraId="025011A1" w14:textId="77777777" w:rsidR="003513FD" w:rsidRPr="00BB53C0" w:rsidRDefault="003513FD" w:rsidP="003513FD">
      <w:pPr>
        <w:spacing w:after="0" w:line="360" w:lineRule="auto"/>
        <w:ind w:firstLine="709"/>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Revisión del Tratado de Asistencia Legal Mutua en Asuntos Penales entre las Repúblicas de Costa Rica, El Salvador, Guatemala, Honduras, Nicaragua y Panamá, aprobado el 29 de octubre de 1993, así como de las observaciones que, respecto al mismo, se realizaron desde el Ministerio de Relaciones Exteriores, proponiéndose las modificaciones que se estimaron pertinentes, con el fin de fortalecer y facilitar la cooperación de los órganos administradores de justicia en la región. </w:t>
      </w:r>
    </w:p>
    <w:p w14:paraId="54C11232" w14:textId="77777777" w:rsidR="003513FD" w:rsidRPr="00BB53C0" w:rsidRDefault="003513FD" w:rsidP="003513FD">
      <w:pPr>
        <w:spacing w:after="0" w:line="360" w:lineRule="auto"/>
        <w:ind w:firstLine="709"/>
        <w:rPr>
          <w:rFonts w:ascii="Arial" w:eastAsia="Times New Roman" w:hAnsi="Arial" w:cs="Arial"/>
          <w:sz w:val="24"/>
          <w:szCs w:val="24"/>
          <w:lang w:val="es-ES" w:eastAsia="es-ES"/>
        </w:rPr>
      </w:pPr>
    </w:p>
    <w:p w14:paraId="6E9BF4BA" w14:textId="68225FAB" w:rsidR="003513FD" w:rsidRPr="00DF2AA7" w:rsidRDefault="00DF2AA7" w:rsidP="00DF2AA7">
      <w:pPr>
        <w:spacing w:before="120" w:after="120" w:line="360" w:lineRule="auto"/>
        <w:rPr>
          <w:rFonts w:ascii="Arial" w:eastAsiaTheme="minorHAnsi" w:hAnsi="Arial" w:cs="Arial"/>
          <w:b/>
          <w:bCs/>
          <w:sz w:val="24"/>
          <w:szCs w:val="24"/>
          <w:u w:val="single"/>
          <w:lang w:val="es-ES"/>
        </w:rPr>
      </w:pPr>
      <w:r w:rsidRPr="00DF2AA7">
        <w:rPr>
          <w:rFonts w:ascii="Arial" w:eastAsiaTheme="minorHAnsi" w:hAnsi="Arial" w:cs="Arial"/>
          <w:b/>
          <w:bCs/>
          <w:sz w:val="24"/>
          <w:szCs w:val="24"/>
          <w:u w:val="single"/>
          <w:lang w:val="es-ES"/>
        </w:rPr>
        <w:lastRenderedPageBreak/>
        <w:t>9-</w:t>
      </w:r>
      <w:r w:rsidR="008D6AC5" w:rsidRPr="00DF2AA7">
        <w:rPr>
          <w:rFonts w:ascii="Arial" w:eastAsiaTheme="minorHAnsi" w:hAnsi="Arial" w:cs="Arial"/>
          <w:b/>
          <w:bCs/>
          <w:sz w:val="24"/>
          <w:szCs w:val="24"/>
          <w:u w:val="single"/>
          <w:lang w:val="es-ES"/>
        </w:rPr>
        <w:t xml:space="preserve"> </w:t>
      </w:r>
      <w:r w:rsidR="003513FD" w:rsidRPr="00DF2AA7">
        <w:rPr>
          <w:rFonts w:ascii="Arial" w:eastAsiaTheme="minorHAnsi" w:hAnsi="Arial" w:cs="Arial"/>
          <w:b/>
          <w:bCs/>
          <w:sz w:val="24"/>
          <w:szCs w:val="24"/>
          <w:u w:val="single"/>
          <w:lang w:val="es-ES"/>
        </w:rPr>
        <w:t>Proyecto Corte/INL/FIU Fortalecimiento de la respuesta judicial ante la Delincuencia Organizada en Costa Rica.</w:t>
      </w:r>
    </w:p>
    <w:p w14:paraId="70086845" w14:textId="77777777" w:rsidR="003513FD" w:rsidRPr="00BB53C0" w:rsidRDefault="003513FD" w:rsidP="003513FD">
      <w:pPr>
        <w:spacing w:before="120" w:after="120" w:line="360" w:lineRule="auto"/>
        <w:ind w:left="1352"/>
        <w:contextualSpacing/>
        <w:rPr>
          <w:rFonts w:ascii="Arial" w:eastAsiaTheme="minorHAnsi" w:hAnsi="Arial" w:cs="Arial"/>
          <w:b/>
          <w:bCs/>
          <w:sz w:val="24"/>
          <w:szCs w:val="24"/>
          <w:u w:val="single"/>
          <w:lang w:val="es-ES"/>
        </w:rPr>
      </w:pPr>
    </w:p>
    <w:p w14:paraId="0D952411" w14:textId="77777777" w:rsidR="003513FD" w:rsidRPr="00BB53C0" w:rsidRDefault="003513FD" w:rsidP="003513FD">
      <w:pPr>
        <w:spacing w:after="160" w:line="360" w:lineRule="auto"/>
        <w:ind w:firstLine="708"/>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a. </w:t>
      </w:r>
      <w:r w:rsidRPr="00BB53C0">
        <w:rPr>
          <w:rFonts w:ascii="Arial" w:eastAsia="Times New Roman" w:hAnsi="Arial" w:cs="Arial"/>
          <w:sz w:val="24"/>
          <w:szCs w:val="24"/>
          <w:lang w:val="es-ES" w:eastAsia="es-ES"/>
        </w:rPr>
        <w:t xml:space="preserve">Convocatorias a reunión y participación en reuniones </w:t>
      </w:r>
    </w:p>
    <w:p w14:paraId="2D95638A" w14:textId="77777777" w:rsidR="003513FD" w:rsidRPr="00BB53C0" w:rsidRDefault="003513FD" w:rsidP="003513FD">
      <w:pPr>
        <w:spacing w:after="0" w:line="360" w:lineRule="auto"/>
        <w:ind w:firstLine="708"/>
        <w:rPr>
          <w:rFonts w:ascii="Arial" w:eastAsia="Times New Roman" w:hAnsi="Arial" w:cs="Arial"/>
          <w:b/>
          <w:bCs/>
          <w:sz w:val="24"/>
          <w:szCs w:val="24"/>
          <w:lang w:val="es-ES" w:eastAsia="es-ES"/>
        </w:rPr>
      </w:pPr>
    </w:p>
    <w:p w14:paraId="571863EC"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bCs/>
          <w:sz w:val="24"/>
          <w:szCs w:val="24"/>
          <w:lang w:val="es-ES" w:eastAsia="es-ES"/>
        </w:rPr>
        <w:t>Con el fin de de</w:t>
      </w:r>
      <w:r w:rsidRPr="00BB53C0">
        <w:rPr>
          <w:rFonts w:ascii="Arial" w:eastAsia="Times New Roman" w:hAnsi="Arial" w:cs="Arial"/>
          <w:sz w:val="24"/>
          <w:szCs w:val="24"/>
          <w:lang w:val="es-ES" w:eastAsia="es-ES"/>
        </w:rPr>
        <w:t xml:space="preserve">finir los parámetros necesarios para la implementación de una base de datos o archivo general a nivel del Poder Judicial, que permitiera contener toda la información actualizada en relación con las capacitaciones brindadas en materia de crimen organizado, tanto por el Ministerio Público, como por la Defensa Pública, el Organismo de Investigación Judicial y la Escuela Judicial, se realizaron las siguientes reuniones: </w:t>
      </w:r>
    </w:p>
    <w:p w14:paraId="5DBE36D0" w14:textId="77777777" w:rsidR="003513FD" w:rsidRPr="00BB53C0" w:rsidRDefault="003513FD" w:rsidP="003513FD">
      <w:pPr>
        <w:spacing w:after="0" w:line="360" w:lineRule="auto"/>
        <w:rPr>
          <w:rFonts w:ascii="Arial" w:eastAsia="Times New Roman" w:hAnsi="Arial" w:cs="Arial"/>
          <w:b/>
          <w:bCs/>
          <w:sz w:val="24"/>
          <w:szCs w:val="24"/>
          <w:u w:val="single"/>
          <w:lang w:val="es-ES" w:eastAsia="es-ES"/>
        </w:rPr>
      </w:pPr>
    </w:p>
    <w:p w14:paraId="6549C0D9" w14:textId="77777777" w:rsidR="003513FD" w:rsidRPr="00BB53C0" w:rsidRDefault="003513FD" w:rsidP="003513FD">
      <w:pPr>
        <w:spacing w:after="0" w:line="360" w:lineRule="auto"/>
        <w:ind w:firstLine="708"/>
        <w:rPr>
          <w:rFonts w:ascii="Arial" w:eastAsia="Times New Roman" w:hAnsi="Arial" w:cs="Arial"/>
          <w:b/>
          <w:sz w:val="24"/>
          <w:szCs w:val="24"/>
          <w:u w:val="single"/>
          <w:lang w:val="es-ES" w:eastAsia="es-ES"/>
        </w:rPr>
      </w:pPr>
      <w:r w:rsidRPr="00BB53C0">
        <w:rPr>
          <w:rFonts w:ascii="Arial" w:eastAsia="Times New Roman" w:hAnsi="Arial" w:cs="Arial"/>
          <w:b/>
          <w:bCs/>
          <w:sz w:val="24"/>
          <w:szCs w:val="24"/>
          <w:u w:val="single"/>
          <w:lang w:val="es-ES" w:eastAsia="es-ES"/>
        </w:rPr>
        <w:t>R</w:t>
      </w:r>
      <w:r w:rsidRPr="00BB53C0">
        <w:rPr>
          <w:rFonts w:ascii="Arial" w:eastAsia="Times New Roman" w:hAnsi="Arial" w:cs="Arial"/>
          <w:b/>
          <w:sz w:val="24"/>
          <w:szCs w:val="24"/>
          <w:u w:val="single"/>
          <w:lang w:val="es-ES" w:eastAsia="es-ES"/>
        </w:rPr>
        <w:t xml:space="preserve">eunión N° 1: </w:t>
      </w:r>
      <w:r w:rsidRPr="00BB53C0">
        <w:rPr>
          <w:rFonts w:ascii="Arial" w:eastAsia="Times New Roman" w:hAnsi="Arial" w:cs="Arial"/>
          <w:b/>
          <w:sz w:val="24"/>
          <w:szCs w:val="24"/>
          <w:lang w:val="es-ES" w:eastAsia="es-ES"/>
        </w:rPr>
        <w:t xml:space="preserve"> </w:t>
      </w:r>
      <w:r w:rsidRPr="00BB53C0">
        <w:rPr>
          <w:rFonts w:ascii="Arial" w:eastAsia="Times New Roman" w:hAnsi="Arial" w:cs="Arial"/>
          <w:sz w:val="24"/>
          <w:szCs w:val="24"/>
          <w:lang w:val="es-ES" w:eastAsia="es-ES"/>
        </w:rPr>
        <w:t>Martes 11 de febrero del 2020</w:t>
      </w:r>
    </w:p>
    <w:p w14:paraId="59782543" w14:textId="77777777" w:rsidR="003513FD" w:rsidRPr="00BB53C0" w:rsidRDefault="003513FD" w:rsidP="003513FD">
      <w:pPr>
        <w:spacing w:after="0" w:line="360" w:lineRule="auto"/>
        <w:rPr>
          <w:rFonts w:ascii="Arial" w:eastAsia="Times New Roman" w:hAnsi="Arial" w:cs="Arial"/>
          <w:bCs/>
          <w:sz w:val="24"/>
          <w:szCs w:val="24"/>
          <w:u w:val="single"/>
          <w:lang w:val="es-ES" w:eastAsia="es-ES"/>
        </w:rPr>
      </w:pPr>
      <w:r w:rsidRPr="00BB53C0">
        <w:rPr>
          <w:rFonts w:ascii="Arial" w:eastAsia="Times New Roman" w:hAnsi="Arial" w:cs="Arial"/>
          <w:bCs/>
          <w:sz w:val="24"/>
          <w:szCs w:val="24"/>
          <w:u w:val="single"/>
          <w:lang w:val="es-ES" w:eastAsia="es-ES"/>
        </w:rPr>
        <w:t>Asistentes:</w:t>
      </w:r>
    </w:p>
    <w:p w14:paraId="713A72C6"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Dixiela Madrigal Mora (Ministerio Público)</w:t>
      </w:r>
    </w:p>
    <w:p w14:paraId="6A52044C"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Kattia Campos Zúñiga (O.I.J)</w:t>
      </w:r>
    </w:p>
    <w:p w14:paraId="677BC6E0"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Miguel Zamora Acevedo (Defensa Pública)</w:t>
      </w:r>
    </w:p>
    <w:p w14:paraId="12897577"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Rebeca Guardia Morales (Escuela Judicial)</w:t>
      </w:r>
    </w:p>
    <w:p w14:paraId="3E6C13E6"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Olga Guerrero Córdoba (Gestión Humana)</w:t>
      </w:r>
    </w:p>
    <w:p w14:paraId="534424D6"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Karla Urtecho Madrigal (T.I)</w:t>
      </w:r>
    </w:p>
    <w:p w14:paraId="78460E1D"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Célimo Elizondo Aguilar (T.I)</w:t>
      </w:r>
    </w:p>
    <w:p w14:paraId="32986FB6"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1D0278A7" w14:textId="77777777" w:rsidR="003513FD" w:rsidRPr="00BB53C0" w:rsidRDefault="003513FD" w:rsidP="003513FD">
      <w:pPr>
        <w:spacing w:after="0" w:line="360" w:lineRule="auto"/>
        <w:ind w:firstLine="708"/>
        <w:rPr>
          <w:rFonts w:ascii="Arial" w:eastAsia="Times New Roman" w:hAnsi="Arial" w:cs="Arial"/>
          <w:sz w:val="24"/>
          <w:szCs w:val="24"/>
          <w:lang w:val="es-ES" w:eastAsia="es-ES"/>
        </w:rPr>
      </w:pPr>
      <w:r w:rsidRPr="00BB53C0">
        <w:rPr>
          <w:rFonts w:ascii="Arial" w:eastAsia="Times New Roman" w:hAnsi="Arial" w:cs="Arial"/>
          <w:b/>
          <w:bCs/>
          <w:sz w:val="24"/>
          <w:szCs w:val="24"/>
          <w:u w:val="single"/>
          <w:lang w:val="es-ES" w:eastAsia="es-ES"/>
        </w:rPr>
        <w:t>Reunión N° 2</w:t>
      </w:r>
      <w:r w:rsidRPr="00BB53C0">
        <w:rPr>
          <w:rFonts w:ascii="Arial" w:eastAsia="Times New Roman" w:hAnsi="Arial" w:cs="Arial"/>
          <w:sz w:val="24"/>
          <w:szCs w:val="24"/>
          <w:lang w:val="es-ES" w:eastAsia="es-ES"/>
        </w:rPr>
        <w:t>: Jueves 5 de marzo del 2020.</w:t>
      </w:r>
    </w:p>
    <w:p w14:paraId="02DB68DA" w14:textId="77777777" w:rsidR="003513FD" w:rsidRPr="00BB53C0" w:rsidRDefault="003513FD" w:rsidP="003513FD">
      <w:pPr>
        <w:spacing w:after="0" w:line="360" w:lineRule="auto"/>
        <w:rPr>
          <w:rFonts w:ascii="Arial" w:eastAsia="Times New Roman" w:hAnsi="Arial" w:cs="Arial"/>
          <w:bCs/>
          <w:sz w:val="24"/>
          <w:szCs w:val="24"/>
          <w:u w:val="single"/>
          <w:lang w:val="es-ES" w:eastAsia="es-ES"/>
        </w:rPr>
      </w:pPr>
      <w:r w:rsidRPr="00BB53C0">
        <w:rPr>
          <w:rFonts w:ascii="Arial" w:eastAsia="Times New Roman" w:hAnsi="Arial" w:cs="Arial"/>
          <w:bCs/>
          <w:sz w:val="24"/>
          <w:szCs w:val="24"/>
          <w:u w:val="single"/>
          <w:lang w:val="es-ES" w:eastAsia="es-ES"/>
        </w:rPr>
        <w:t>Asistentes:</w:t>
      </w:r>
    </w:p>
    <w:p w14:paraId="36521FEE"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Weiman Hin Herrera y Cheryl Bolaños (Gestión Humana)</w:t>
      </w:r>
    </w:p>
    <w:p w14:paraId="079FB1CD"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Ana Cecilia Calvo y don Daniel González (FIU)</w:t>
      </w:r>
    </w:p>
    <w:p w14:paraId="1474C2C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Karla Urtecho Madrigal (T.I)</w:t>
      </w:r>
    </w:p>
    <w:p w14:paraId="5E60A302"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Célimo Elizondo Aguilar (T.I)</w:t>
      </w:r>
    </w:p>
    <w:p w14:paraId="3C5A5A58" w14:textId="77777777" w:rsidR="003513FD" w:rsidRPr="00BB53C0" w:rsidRDefault="003513FD" w:rsidP="003513FD">
      <w:pPr>
        <w:spacing w:after="0" w:line="360" w:lineRule="auto"/>
        <w:rPr>
          <w:rFonts w:ascii="Arial" w:eastAsia="Times New Roman" w:hAnsi="Arial" w:cs="Arial"/>
          <w:sz w:val="24"/>
          <w:szCs w:val="24"/>
          <w:lang w:val="es-ES" w:eastAsia="es-ES"/>
        </w:rPr>
      </w:pPr>
    </w:p>
    <w:p w14:paraId="7148BAE8" w14:textId="77777777" w:rsidR="003513FD" w:rsidRPr="00BB53C0" w:rsidRDefault="003513FD" w:rsidP="003513FD">
      <w:pPr>
        <w:spacing w:after="0" w:line="360" w:lineRule="auto"/>
        <w:ind w:firstLine="708"/>
        <w:rPr>
          <w:rFonts w:ascii="Arial" w:eastAsia="Times New Roman" w:hAnsi="Arial" w:cs="Arial"/>
          <w:sz w:val="24"/>
          <w:szCs w:val="24"/>
          <w:lang w:val="es-ES" w:eastAsia="es-ES"/>
        </w:rPr>
      </w:pPr>
      <w:r w:rsidRPr="00BB53C0">
        <w:rPr>
          <w:rFonts w:ascii="Arial" w:eastAsia="Times New Roman" w:hAnsi="Arial" w:cs="Arial"/>
          <w:b/>
          <w:bCs/>
          <w:sz w:val="24"/>
          <w:szCs w:val="24"/>
          <w:u w:val="single"/>
          <w:lang w:val="es-ES" w:eastAsia="es-ES"/>
        </w:rPr>
        <w:t>Reunión N° 3:</w:t>
      </w:r>
      <w:r w:rsidRPr="00BB53C0">
        <w:rPr>
          <w:rFonts w:ascii="Arial" w:eastAsia="Times New Roman" w:hAnsi="Arial" w:cs="Arial"/>
          <w:sz w:val="24"/>
          <w:szCs w:val="24"/>
          <w:lang w:val="es-ES" w:eastAsia="es-ES"/>
        </w:rPr>
        <w:t xml:space="preserve"> Martes 4 de agosto del 2020. </w:t>
      </w:r>
    </w:p>
    <w:p w14:paraId="0E37476D" w14:textId="77777777" w:rsidR="003513FD" w:rsidRPr="00BB53C0" w:rsidRDefault="003513FD" w:rsidP="003513FD">
      <w:pPr>
        <w:spacing w:after="0" w:line="360" w:lineRule="auto"/>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Se convocó a las siguientes personas:</w:t>
      </w:r>
    </w:p>
    <w:p w14:paraId="79BBDEDC"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Weiman Hin Herrera y Cheryl Bolaños (Gestión Humana)</w:t>
      </w:r>
    </w:p>
    <w:p w14:paraId="37619BF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Ana Cecilia Calvo y don Daniel González (FIU)</w:t>
      </w:r>
    </w:p>
    <w:p w14:paraId="36A8A73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Célimo Elizondo Aguilar (T.I)</w:t>
      </w:r>
    </w:p>
    <w:p w14:paraId="7F2314E8"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Dixiela Madrigal Mora (Ministerio Público)</w:t>
      </w:r>
    </w:p>
    <w:p w14:paraId="7FE6101F"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Kattia Campos Zúñiga (O.I.J)</w:t>
      </w:r>
    </w:p>
    <w:p w14:paraId="3805819A"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Damaris Cruz Obregón (Defensa Pública)</w:t>
      </w:r>
    </w:p>
    <w:p w14:paraId="4649D307"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Rebeca Guardia Morales (Escuela Judicial)</w:t>
      </w:r>
    </w:p>
    <w:p w14:paraId="19318478"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Olga Guerrero Córdoba (Gestión Humana)</w:t>
      </w:r>
    </w:p>
    <w:p w14:paraId="1BB3A9AA"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Cindy Ramírez Ramírez</w:t>
      </w:r>
    </w:p>
    <w:p w14:paraId="5680AFD4"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Ariana Vega Monge</w:t>
      </w:r>
    </w:p>
    <w:p w14:paraId="21E64663"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Hulda Chinchilla</w:t>
      </w:r>
    </w:p>
    <w:p w14:paraId="1A270CCC" w14:textId="77777777" w:rsidR="003513FD" w:rsidRPr="00BB53C0" w:rsidRDefault="003513FD" w:rsidP="003513FD">
      <w:pPr>
        <w:spacing w:after="0" w:line="360" w:lineRule="auto"/>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Indira Calvo </w:t>
      </w:r>
    </w:p>
    <w:p w14:paraId="6722B6DD" w14:textId="77777777" w:rsidR="003513FD" w:rsidRPr="00BB53C0" w:rsidRDefault="003513FD" w:rsidP="003513FD">
      <w:pPr>
        <w:spacing w:after="0" w:line="360" w:lineRule="auto"/>
        <w:ind w:left="708" w:firstLine="708"/>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b. Redacción de oficios:</w:t>
      </w:r>
    </w:p>
    <w:p w14:paraId="39CE247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Oficio S-CJEDO-03-2020</w:t>
      </w:r>
      <w:r w:rsidRPr="00BB53C0">
        <w:rPr>
          <w:rFonts w:ascii="Arial" w:eastAsia="Times New Roman" w:hAnsi="Arial" w:cs="Arial"/>
          <w:sz w:val="24"/>
          <w:szCs w:val="24"/>
          <w:lang w:val="es-ES" w:eastAsia="es-ES"/>
        </w:rPr>
        <w:t xml:space="preserve">: El 19 de junio de 2020, se </w:t>
      </w:r>
      <w:r w:rsidRPr="00BB53C0">
        <w:rPr>
          <w:rFonts w:ascii="Arial" w:eastAsia="Times New Roman" w:hAnsi="Arial" w:cs="Arial"/>
          <w:sz w:val="24"/>
          <w:szCs w:val="24"/>
          <w:lang w:val="es-ES" w:eastAsia="es-ES_tradnl"/>
        </w:rPr>
        <w:t>instó a las instancias involucradas con el proceso de capacitaciones, para proponer un proyecto que permitiera</w:t>
      </w:r>
      <w:r w:rsidRPr="00BB53C0">
        <w:rPr>
          <w:rFonts w:ascii="Arial" w:eastAsia="Times New Roman" w:hAnsi="Arial" w:cs="Arial"/>
          <w:sz w:val="24"/>
          <w:szCs w:val="24"/>
          <w:lang w:val="es-ES" w:eastAsia="es-ES"/>
        </w:rPr>
        <w:t xml:space="preserve"> </w:t>
      </w:r>
      <w:r w:rsidRPr="00BB53C0">
        <w:rPr>
          <w:rFonts w:ascii="Arial" w:eastAsia="Times New Roman" w:hAnsi="Arial" w:cs="Arial"/>
          <w:sz w:val="24"/>
          <w:szCs w:val="24"/>
          <w:lang w:val="es-ES" w:eastAsia="es-ES_tradnl"/>
        </w:rPr>
        <w:t>desarrollar una iniciativa de un Registro Único de Capacitaciones en el Poder Judicial.</w:t>
      </w:r>
    </w:p>
    <w:p w14:paraId="3458A299" w14:textId="77777777" w:rsidR="003513FD" w:rsidRPr="00BB53C0" w:rsidRDefault="003513FD" w:rsidP="003513FD">
      <w:pPr>
        <w:spacing w:after="0" w:line="360" w:lineRule="auto"/>
        <w:ind w:left="708" w:firstLine="708"/>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c. Resultados:</w:t>
      </w:r>
    </w:p>
    <w:p w14:paraId="47628D1E"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Dentro del marco del diagnóstico de las necesidades de capacitación de los operadores de justicia, ante la entrada en vigencia de la Ley de Creación de la Jurisdicción Especializada en Delincuencia Organizada en Costa Rica, se colaboró con el desarrollo de la iniciativa de un </w:t>
      </w:r>
      <w:r w:rsidRPr="00BB53C0">
        <w:rPr>
          <w:rFonts w:ascii="Arial" w:eastAsia="Times New Roman" w:hAnsi="Arial" w:cs="Arial"/>
          <w:b/>
          <w:bCs/>
          <w:sz w:val="24"/>
          <w:szCs w:val="24"/>
          <w:lang w:val="es-ES" w:eastAsia="es-ES"/>
        </w:rPr>
        <w:t>Registro Único de Capacitaciones en el Poder Judicial</w:t>
      </w:r>
      <w:r w:rsidRPr="00BB53C0">
        <w:rPr>
          <w:rFonts w:ascii="Arial" w:eastAsia="Times New Roman" w:hAnsi="Arial" w:cs="Arial"/>
          <w:sz w:val="24"/>
          <w:szCs w:val="24"/>
          <w:lang w:val="es-ES" w:eastAsia="es-ES"/>
        </w:rPr>
        <w:t xml:space="preserve">, concretamente, mediante la coordinación de las reuniones dirigidas a concretar dicha iniciativa, con el fin de instaurar un instrumento primordial para hacer más ordenado, eficiente y equitativo el proceso de formación en el ámbito judicial. </w:t>
      </w:r>
    </w:p>
    <w:p w14:paraId="2ACC80F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El día 21 de mayo del 2020 se dispuso poner en conocimiento del Consejo Superior del Poder Judicial las gestiones realizadas, tendientes a la implementación de un Registro Único de Capacitaciones a nivel institucional. En sesión N° 66-2020, celebrada el 30 de junio de 2020, el Consejo Superior del Poder Judicial acogió la petición presentada desde la Comisión de Crimen Organizado, en su oficio número S-CJEDO-03-2020, del 19 de junio de 2020:</w:t>
      </w:r>
    </w:p>
    <w:p w14:paraId="027BEE4E" w14:textId="77777777" w:rsidR="003513FD" w:rsidRPr="00BB53C0" w:rsidRDefault="003513FD" w:rsidP="003513FD">
      <w:pPr>
        <w:suppressAutoHyphens/>
        <w:spacing w:after="0" w:line="360" w:lineRule="auto"/>
        <w:ind w:left="851" w:right="737" w:firstLine="709"/>
        <w:jc w:val="both"/>
        <w:rPr>
          <w:rFonts w:ascii="Arial" w:eastAsia="Times New Roman" w:hAnsi="Arial" w:cs="Arial"/>
          <w:i/>
          <w:iCs/>
          <w:sz w:val="24"/>
          <w:szCs w:val="24"/>
          <w:lang w:val="es-ES" w:eastAsia="ar-SA"/>
        </w:rPr>
      </w:pPr>
      <w:r w:rsidRPr="00BB53C0">
        <w:rPr>
          <w:rFonts w:ascii="Arial" w:eastAsia="Times New Roman" w:hAnsi="Arial" w:cs="Arial"/>
          <w:i/>
          <w:iCs/>
          <w:sz w:val="24"/>
          <w:szCs w:val="24"/>
          <w:lang w:val="es-ES" w:eastAsia="ar-SA"/>
        </w:rPr>
        <w:lastRenderedPageBreak/>
        <w:t xml:space="preserve">“ARTÍCULO XXXVI. </w:t>
      </w:r>
      <w:r w:rsidRPr="00BB53C0">
        <w:rPr>
          <w:rFonts w:ascii="Arial" w:eastAsia="Times New Roman" w:hAnsi="Arial" w:cs="Arial"/>
          <w:b/>
          <w:bCs/>
          <w:i/>
          <w:iCs/>
          <w:sz w:val="24"/>
          <w:szCs w:val="24"/>
          <w:lang w:eastAsia="es-ES_tradnl"/>
        </w:rPr>
        <w:t>Se acordó:</w:t>
      </w:r>
      <w:r w:rsidRPr="00BB53C0">
        <w:rPr>
          <w:rFonts w:ascii="Arial" w:eastAsia="Times New Roman" w:hAnsi="Arial" w:cs="Arial"/>
          <w:i/>
          <w:iCs/>
          <w:sz w:val="24"/>
          <w:szCs w:val="24"/>
          <w:lang w:eastAsia="es-ES_tradnl"/>
        </w:rPr>
        <w:t xml:space="preserve"> </w:t>
      </w:r>
      <w:r w:rsidRPr="00BB53C0">
        <w:rPr>
          <w:rFonts w:ascii="Arial" w:eastAsia="Times New Roman" w:hAnsi="Arial" w:cs="Arial"/>
          <w:b/>
          <w:bCs/>
          <w:i/>
          <w:iCs/>
          <w:sz w:val="24"/>
          <w:szCs w:val="24"/>
          <w:lang w:eastAsia="es-ES_tradnl"/>
        </w:rPr>
        <w:t>1.)</w:t>
      </w:r>
      <w:r w:rsidRPr="00BB53C0">
        <w:rPr>
          <w:rFonts w:ascii="Arial" w:eastAsia="Times New Roman" w:hAnsi="Arial" w:cs="Arial"/>
          <w:i/>
          <w:iCs/>
          <w:sz w:val="24"/>
          <w:szCs w:val="24"/>
          <w:lang w:eastAsia="es-ES_tradnl"/>
        </w:rPr>
        <w:t xml:space="preserve"> </w:t>
      </w:r>
      <w:bookmarkStart w:id="25" w:name="_Hlk45807024"/>
      <w:r w:rsidRPr="00BB53C0">
        <w:rPr>
          <w:rFonts w:ascii="Arial" w:eastAsia="Times New Roman" w:hAnsi="Arial" w:cs="Arial"/>
          <w:i/>
          <w:iCs/>
          <w:sz w:val="24"/>
          <w:szCs w:val="24"/>
          <w:lang w:eastAsia="es-ES_tradnl"/>
        </w:rPr>
        <w:t xml:space="preserve">Acoger la petición presentada por la doctora Sandra Eugenia Zúñiga Morales, Coordinadora de la Comisión de Crimen Organizado, en su oficio número S-CJEDO-03-2020, del 19 de junio de 2020, </w:t>
      </w:r>
      <w:bookmarkEnd w:id="25"/>
      <w:r w:rsidRPr="00BB53C0">
        <w:rPr>
          <w:rFonts w:ascii="Arial" w:eastAsia="Times New Roman" w:hAnsi="Arial" w:cs="Arial"/>
          <w:i/>
          <w:iCs/>
          <w:sz w:val="24"/>
          <w:szCs w:val="24"/>
          <w:lang w:eastAsia="es-ES_tradnl"/>
        </w:rPr>
        <w:t xml:space="preserve">en consecuencia, instar a todas las instancias involucradas para que propongan un proyecto que nos lleve a alcanzar este objetivo. Por lo anterior, se hace de conocimiento el presente acuerdo a las Unidades de Capacitaciones en el Poder Judicial para lo que corresponda. </w:t>
      </w:r>
      <w:r w:rsidRPr="00BB53C0">
        <w:rPr>
          <w:rFonts w:ascii="Arial" w:eastAsia="Times New Roman" w:hAnsi="Arial" w:cs="Arial"/>
          <w:b/>
          <w:bCs/>
          <w:i/>
          <w:iCs/>
          <w:sz w:val="24"/>
          <w:szCs w:val="24"/>
          <w:lang w:eastAsia="es-ES_tradnl"/>
        </w:rPr>
        <w:t xml:space="preserve">2.) </w:t>
      </w:r>
      <w:r w:rsidRPr="00BB53C0">
        <w:rPr>
          <w:rFonts w:ascii="Arial" w:eastAsia="Times New Roman" w:hAnsi="Arial" w:cs="Arial"/>
          <w:i/>
          <w:iCs/>
          <w:sz w:val="24"/>
          <w:szCs w:val="24"/>
          <w:lang w:eastAsia="es-ES_tradnl"/>
        </w:rPr>
        <w:t xml:space="preserve">Remitir lo anterior al </w:t>
      </w:r>
      <w:r w:rsidRPr="00BB53C0">
        <w:rPr>
          <w:rFonts w:ascii="Arial" w:eastAsia="Times New Roman" w:hAnsi="Arial" w:cs="Arial"/>
          <w:i/>
          <w:iCs/>
          <w:color w:val="000000" w:themeColor="text1"/>
          <w:sz w:val="24"/>
          <w:szCs w:val="24"/>
          <w:lang w:eastAsia="es-CR"/>
        </w:rPr>
        <w:t xml:space="preserve">Consejo Directivo de la Escuela Judicial para la definición del catálogo de </w:t>
      </w:r>
      <w:r w:rsidRPr="00BB53C0">
        <w:rPr>
          <w:rFonts w:ascii="Arial" w:eastAsia="Times New Roman" w:hAnsi="Arial" w:cs="Arial"/>
          <w:i/>
          <w:iCs/>
          <w:color w:val="000000" w:themeColor="text1"/>
          <w:sz w:val="24"/>
          <w:szCs w:val="24"/>
          <w:lang w:eastAsia="ar-SA"/>
        </w:rPr>
        <w:t xml:space="preserve">variables para el campo MATERIA o EJE con la ayuda de Rectoría, así como la emisión de una directriz dirigida a los distintos componentes institucionales para que no se hagan más réplicas de SAGA para las Unidades de Capacitación hasta </w:t>
      </w:r>
      <w:r w:rsidRPr="00BB53C0">
        <w:rPr>
          <w:rFonts w:ascii="Arial" w:eastAsia="Times New Roman" w:hAnsi="Arial" w:cs="Arial"/>
          <w:i/>
          <w:iCs/>
          <w:color w:val="000000" w:themeColor="text1"/>
          <w:sz w:val="24"/>
          <w:szCs w:val="24"/>
          <w:shd w:val="clear" w:color="auto" w:fill="FFFFFF"/>
          <w:lang w:eastAsia="ar-SA"/>
        </w:rPr>
        <w:t>que se concrete una consulta técnica con DTI y la integración de SAGA a SIGA se encuentre en producción</w:t>
      </w:r>
      <w:r w:rsidRPr="00BB53C0">
        <w:rPr>
          <w:rFonts w:ascii="Arial" w:eastAsia="Times New Roman" w:hAnsi="Arial" w:cs="Arial"/>
          <w:b/>
          <w:bCs/>
          <w:i/>
          <w:iCs/>
          <w:sz w:val="24"/>
          <w:szCs w:val="24"/>
          <w:lang w:val="es-ES_tradnl" w:eastAsia="ar-SA"/>
        </w:rPr>
        <w:t>.</w:t>
      </w:r>
      <w:r w:rsidRPr="00BB53C0">
        <w:rPr>
          <w:rFonts w:ascii="Arial" w:eastAsia="Times New Roman" w:hAnsi="Arial" w:cs="Arial"/>
          <w:i/>
          <w:iCs/>
          <w:sz w:val="24"/>
          <w:szCs w:val="24"/>
          <w:lang w:val="es-ES" w:eastAsia="ar-SA"/>
        </w:rPr>
        <w:t>”</w:t>
      </w:r>
    </w:p>
    <w:p w14:paraId="6771DBC2" w14:textId="77777777" w:rsidR="003513FD" w:rsidRPr="00BB53C0" w:rsidRDefault="003513FD" w:rsidP="003513FD">
      <w:pPr>
        <w:widowControl w:val="0"/>
        <w:autoSpaceDE w:val="0"/>
        <w:autoSpaceDN w:val="0"/>
        <w:adjustRightInd w:val="0"/>
        <w:spacing w:after="0" w:line="360" w:lineRule="auto"/>
        <w:ind w:left="851" w:right="851"/>
        <w:rPr>
          <w:rFonts w:ascii="Arial" w:eastAsia="Times New Roman" w:hAnsi="Arial" w:cs="Arial"/>
          <w:sz w:val="24"/>
          <w:szCs w:val="24"/>
          <w:lang w:val="es-ES" w:eastAsia="es-ES"/>
        </w:rPr>
      </w:pPr>
    </w:p>
    <w:p w14:paraId="16088EE1" w14:textId="77777777" w:rsidR="003513FD" w:rsidRPr="00BB53C0" w:rsidRDefault="003513FD" w:rsidP="003513FD">
      <w:pPr>
        <w:widowControl w:val="0"/>
        <w:autoSpaceDE w:val="0"/>
        <w:autoSpaceDN w:val="0"/>
        <w:adjustRightInd w:val="0"/>
        <w:spacing w:after="0" w:line="360" w:lineRule="auto"/>
        <w:ind w:left="851" w:right="851"/>
        <w:rPr>
          <w:rFonts w:ascii="Arial" w:eastAsia="Times New Roman" w:hAnsi="Arial" w:cs="Arial"/>
          <w:sz w:val="24"/>
          <w:szCs w:val="24"/>
          <w:lang w:val="es-ES" w:eastAsia="es-ES"/>
        </w:rPr>
      </w:pPr>
    </w:p>
    <w:p w14:paraId="615DF958" w14:textId="77777777" w:rsidR="003513FD" w:rsidRPr="00BB53C0" w:rsidRDefault="003513FD" w:rsidP="003513FD">
      <w:pPr>
        <w:widowControl w:val="0"/>
        <w:autoSpaceDE w:val="0"/>
        <w:autoSpaceDN w:val="0"/>
        <w:adjustRightInd w:val="0"/>
        <w:spacing w:after="0" w:line="360" w:lineRule="auto"/>
        <w:ind w:left="851" w:right="851"/>
        <w:rPr>
          <w:rFonts w:ascii="Arial" w:eastAsia="Times New Roman" w:hAnsi="Arial" w:cs="Arial"/>
          <w:sz w:val="24"/>
          <w:szCs w:val="24"/>
          <w:lang w:val="es-ES" w:eastAsia="es-ES"/>
        </w:rPr>
      </w:pPr>
    </w:p>
    <w:p w14:paraId="6D339A3B" w14:textId="605EEBE9" w:rsidR="003513FD" w:rsidRPr="00BB53C0" w:rsidRDefault="008D6AC5" w:rsidP="00DF2AA7">
      <w:pPr>
        <w:spacing w:after="0" w:line="360" w:lineRule="auto"/>
        <w:rPr>
          <w:rFonts w:ascii="Arial" w:eastAsia="Times New Roman" w:hAnsi="Arial" w:cs="Arial"/>
          <w:b/>
          <w:bCs/>
          <w:sz w:val="24"/>
          <w:szCs w:val="24"/>
          <w:u w:val="single"/>
          <w:lang w:val="es-ES" w:eastAsia="es-ES"/>
        </w:rPr>
      </w:pPr>
      <w:r>
        <w:rPr>
          <w:rFonts w:ascii="Arial" w:eastAsia="Times New Roman" w:hAnsi="Arial" w:cs="Arial"/>
          <w:b/>
          <w:bCs/>
          <w:sz w:val="24"/>
          <w:szCs w:val="24"/>
          <w:u w:val="single"/>
          <w:lang w:val="es-ES" w:eastAsia="es-ES"/>
        </w:rPr>
        <w:t>1</w:t>
      </w:r>
      <w:r w:rsidR="00DF2AA7">
        <w:rPr>
          <w:rFonts w:ascii="Arial" w:eastAsia="Times New Roman" w:hAnsi="Arial" w:cs="Arial"/>
          <w:b/>
          <w:bCs/>
          <w:sz w:val="24"/>
          <w:szCs w:val="24"/>
          <w:u w:val="single"/>
          <w:lang w:val="es-ES" w:eastAsia="es-ES"/>
        </w:rPr>
        <w:t xml:space="preserve">0- </w:t>
      </w:r>
      <w:r w:rsidR="003513FD" w:rsidRPr="00BB53C0">
        <w:rPr>
          <w:rFonts w:ascii="Arial" w:eastAsia="Times New Roman" w:hAnsi="Arial" w:cs="Arial"/>
          <w:b/>
          <w:bCs/>
          <w:sz w:val="24"/>
          <w:szCs w:val="24"/>
          <w:u w:val="single"/>
          <w:lang w:val="es-ES" w:eastAsia="es-ES"/>
        </w:rPr>
        <w:t>Comisión Institucional de Trata de Personas:</w:t>
      </w:r>
    </w:p>
    <w:p w14:paraId="6FB0AD89" w14:textId="77777777" w:rsidR="003513FD" w:rsidRPr="00BB53C0" w:rsidRDefault="003513FD" w:rsidP="003513FD">
      <w:pPr>
        <w:spacing w:after="0" w:line="360" w:lineRule="auto"/>
        <w:ind w:firstLine="708"/>
        <w:jc w:val="both"/>
        <w:rPr>
          <w:rFonts w:ascii="Arial" w:eastAsia="Times New Roman" w:hAnsi="Arial" w:cs="Arial"/>
          <w:b/>
          <w:bCs/>
          <w:sz w:val="24"/>
          <w:szCs w:val="24"/>
          <w:lang w:val="es-ES" w:eastAsia="es-ES"/>
        </w:rPr>
      </w:pPr>
      <w:r w:rsidRPr="00BB53C0">
        <w:rPr>
          <w:rFonts w:ascii="Arial" w:eastAsia="Times New Roman" w:hAnsi="Arial" w:cs="Arial"/>
          <w:b/>
          <w:bCs/>
          <w:sz w:val="24"/>
          <w:szCs w:val="24"/>
          <w:lang w:val="es-ES" w:eastAsia="es-ES"/>
        </w:rPr>
        <w:t xml:space="preserve">a. Convocatorias a reunión: </w:t>
      </w:r>
    </w:p>
    <w:p w14:paraId="67FE546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 </w:t>
      </w:r>
      <w:r w:rsidRPr="00BB53C0">
        <w:rPr>
          <w:rFonts w:ascii="Arial" w:eastAsia="Times New Roman" w:hAnsi="Arial" w:cs="Arial"/>
          <w:sz w:val="24"/>
          <w:szCs w:val="24"/>
          <w:lang w:val="es-ES" w:eastAsia="es-ES"/>
        </w:rPr>
        <w:t>Miércoles, 17 de junio de 2020</w:t>
      </w:r>
    </w:p>
    <w:p w14:paraId="22F817EF"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22BAE79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 Morales</w:t>
      </w:r>
    </w:p>
    <w:p w14:paraId="7754704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Karen Leiva Chavarría </w:t>
      </w:r>
    </w:p>
    <w:p w14:paraId="7D64A33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María Fernanda Calvo Aguilar</w:t>
      </w:r>
    </w:p>
    <w:p w14:paraId="18D5869D"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Con el fin de conocer las propuestas de proyectos que se han presentado y respecto a la existencia de la posibilidad de concursar por un fondo federal de Estados Unidos para apoyar en el tema de Trata de Personas.</w:t>
      </w:r>
    </w:p>
    <w:p w14:paraId="5299F998"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78091DC6"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2 </w:t>
      </w:r>
      <w:r w:rsidRPr="00BB53C0">
        <w:rPr>
          <w:rFonts w:ascii="Arial" w:eastAsia="Times New Roman" w:hAnsi="Arial" w:cs="Arial"/>
          <w:sz w:val="24"/>
          <w:szCs w:val="24"/>
          <w:lang w:val="es-ES" w:eastAsia="es-ES"/>
        </w:rPr>
        <w:t>Martes 4 de agosto por medio de la plataforma Teams</w:t>
      </w:r>
    </w:p>
    <w:p w14:paraId="10C821CE"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68C58C7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Karen Leiva Chavarría </w:t>
      </w:r>
    </w:p>
    <w:p w14:paraId="7DAA86A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María Fernanda Calvo Aguilar</w:t>
      </w:r>
    </w:p>
    <w:p w14:paraId="11FC6AD8"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Con el fin de que se diera a conocer la propuesta del Proyecto de trata de personas para su valoración. </w:t>
      </w:r>
    </w:p>
    <w:p w14:paraId="1B9BA089"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3C6A66DC" w14:textId="77777777" w:rsidR="003513FD" w:rsidRPr="00BB53C0" w:rsidRDefault="003513FD" w:rsidP="003513FD">
      <w:pPr>
        <w:spacing w:after="0" w:line="360" w:lineRule="auto"/>
        <w:ind w:firstLine="708"/>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b.</w:t>
      </w:r>
      <w:r w:rsidRPr="00BB53C0">
        <w:rPr>
          <w:rFonts w:ascii="Arial" w:eastAsia="Times New Roman" w:hAnsi="Arial" w:cs="Arial"/>
          <w:sz w:val="24"/>
          <w:szCs w:val="24"/>
          <w:lang w:val="es-ES" w:eastAsia="es-ES"/>
        </w:rPr>
        <w:t xml:space="preserve"> </w:t>
      </w:r>
      <w:r w:rsidRPr="00BB53C0">
        <w:rPr>
          <w:rFonts w:ascii="Arial" w:eastAsia="Times New Roman" w:hAnsi="Arial" w:cs="Arial"/>
          <w:b/>
          <w:bCs/>
          <w:sz w:val="24"/>
          <w:szCs w:val="24"/>
          <w:lang w:val="es-ES" w:eastAsia="es-ES"/>
        </w:rPr>
        <w:t>Redacción de otros documentos:</w:t>
      </w:r>
      <w:r w:rsidRPr="00BB53C0">
        <w:rPr>
          <w:rFonts w:ascii="Arial" w:eastAsia="Times New Roman" w:hAnsi="Arial" w:cs="Arial"/>
          <w:sz w:val="24"/>
          <w:szCs w:val="24"/>
          <w:lang w:val="es-ES" w:eastAsia="es-ES"/>
        </w:rPr>
        <w:t xml:space="preserve"> </w:t>
      </w:r>
    </w:p>
    <w:p w14:paraId="58F8DD8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Se ha trabajado en la justificación de la Ficha del Proyecto: </w:t>
      </w:r>
      <w:r w:rsidRPr="00BB53C0">
        <w:rPr>
          <w:rFonts w:ascii="Arial" w:eastAsia="Times New Roman" w:hAnsi="Arial" w:cs="Arial"/>
          <w:i/>
          <w:iCs/>
          <w:sz w:val="24"/>
          <w:szCs w:val="24"/>
          <w:lang w:val="es-ES" w:eastAsia="es-ES"/>
        </w:rPr>
        <w:t>“Mejoramiento de la actividad persecutoria del delito de Trata de personas en Costa Rica”,</w:t>
      </w:r>
      <w:r w:rsidRPr="00BB53C0">
        <w:rPr>
          <w:rFonts w:ascii="Arial" w:eastAsia="Times New Roman" w:hAnsi="Arial" w:cs="Arial"/>
          <w:sz w:val="24"/>
          <w:szCs w:val="24"/>
          <w:lang w:val="es-ES" w:eastAsia="es-ES"/>
        </w:rPr>
        <w:t xml:space="preserve"> de la mano con la Oficina de Cooperación y Relaciones Internacionales, con el propósito de buscar cooperantes que permitan consolidar su ejecución.</w:t>
      </w:r>
    </w:p>
    <w:p w14:paraId="0FEEF4E4" w14:textId="77777777" w:rsidR="00DF2AA7" w:rsidRDefault="00DF2AA7" w:rsidP="00DF2AA7">
      <w:pPr>
        <w:spacing w:after="0" w:line="360" w:lineRule="auto"/>
        <w:rPr>
          <w:rFonts w:ascii="Arial" w:eastAsiaTheme="minorHAnsi" w:hAnsi="Arial" w:cs="Arial"/>
          <w:b/>
          <w:bCs/>
          <w:sz w:val="24"/>
          <w:szCs w:val="24"/>
          <w:u w:val="single"/>
          <w:lang w:val="es-ES"/>
        </w:rPr>
      </w:pPr>
    </w:p>
    <w:p w14:paraId="43ABCB42" w14:textId="6DA90EEA" w:rsidR="003513FD" w:rsidRPr="00DF2AA7" w:rsidRDefault="00DF2AA7" w:rsidP="00DF2AA7">
      <w:pPr>
        <w:spacing w:after="0" w:line="360" w:lineRule="auto"/>
        <w:rPr>
          <w:rFonts w:ascii="Arial" w:eastAsiaTheme="minorHAnsi" w:hAnsi="Arial" w:cs="Arial"/>
          <w:b/>
          <w:bCs/>
          <w:sz w:val="24"/>
          <w:szCs w:val="24"/>
          <w:u w:val="single"/>
          <w:lang w:val="es-ES"/>
        </w:rPr>
      </w:pPr>
      <w:r>
        <w:rPr>
          <w:rFonts w:ascii="Arial" w:eastAsiaTheme="minorHAnsi" w:hAnsi="Arial" w:cs="Arial"/>
          <w:b/>
          <w:bCs/>
          <w:sz w:val="24"/>
          <w:szCs w:val="24"/>
          <w:u w:val="single"/>
          <w:lang w:val="es-ES"/>
        </w:rPr>
        <w:t>11-S</w:t>
      </w:r>
      <w:r w:rsidR="003513FD" w:rsidRPr="00DF2AA7">
        <w:rPr>
          <w:rFonts w:ascii="Arial" w:eastAsiaTheme="minorHAnsi" w:hAnsi="Arial" w:cs="Arial"/>
          <w:b/>
          <w:bCs/>
          <w:sz w:val="24"/>
          <w:szCs w:val="24"/>
          <w:u w:val="single"/>
          <w:lang w:val="es-ES"/>
        </w:rPr>
        <w:t>ub Comisión de Delincuencia Organizada.</w:t>
      </w:r>
    </w:p>
    <w:p w14:paraId="30A18C54" w14:textId="77777777" w:rsidR="003513FD" w:rsidRPr="00BB53C0" w:rsidRDefault="003513FD" w:rsidP="003513FD">
      <w:pPr>
        <w:spacing w:line="360" w:lineRule="auto"/>
        <w:ind w:left="1440"/>
        <w:contextualSpacing/>
        <w:jc w:val="both"/>
        <w:rPr>
          <w:rFonts w:ascii="Arial" w:eastAsiaTheme="minorHAnsi" w:hAnsi="Arial" w:cs="Arial"/>
          <w:sz w:val="24"/>
          <w:szCs w:val="24"/>
          <w:lang w:val="es-ES"/>
        </w:rPr>
      </w:pPr>
    </w:p>
    <w:p w14:paraId="409134D4" w14:textId="77777777" w:rsidR="003513FD" w:rsidRPr="00BB53C0" w:rsidRDefault="003513FD" w:rsidP="00C10ACE">
      <w:pPr>
        <w:numPr>
          <w:ilvl w:val="1"/>
          <w:numId w:val="4"/>
        </w:numPr>
        <w:spacing w:after="0" w:line="360" w:lineRule="auto"/>
        <w:contextualSpacing/>
        <w:jc w:val="both"/>
        <w:rPr>
          <w:rFonts w:ascii="Arial" w:eastAsiaTheme="minorHAnsi" w:hAnsi="Arial" w:cs="Arial"/>
          <w:b/>
          <w:bCs/>
          <w:sz w:val="24"/>
          <w:szCs w:val="24"/>
          <w:lang w:val="es-ES"/>
        </w:rPr>
      </w:pPr>
      <w:r w:rsidRPr="00BB53C0">
        <w:rPr>
          <w:rFonts w:ascii="Arial" w:eastAsiaTheme="minorHAnsi" w:hAnsi="Arial" w:cs="Arial"/>
          <w:b/>
          <w:bCs/>
          <w:sz w:val="24"/>
          <w:szCs w:val="24"/>
          <w:lang w:val="es-ES"/>
        </w:rPr>
        <w:t>Convocatorias a reunión y participación</w:t>
      </w:r>
    </w:p>
    <w:p w14:paraId="1DA4795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 Reunión</w:t>
      </w:r>
      <w:r w:rsidRPr="00BB53C0">
        <w:rPr>
          <w:rFonts w:ascii="Arial" w:eastAsia="Times New Roman" w:hAnsi="Arial" w:cs="Arial"/>
          <w:sz w:val="24"/>
          <w:szCs w:val="24"/>
          <w:lang w:val="es-ES" w:eastAsia="es-ES"/>
        </w:rPr>
        <w:t xml:space="preserve"> </w:t>
      </w:r>
      <w:r w:rsidRPr="00BB53C0">
        <w:rPr>
          <w:rFonts w:ascii="Arial" w:eastAsia="Times New Roman" w:hAnsi="Arial" w:cs="Arial"/>
          <w:b/>
          <w:bCs/>
          <w:sz w:val="24"/>
          <w:szCs w:val="24"/>
          <w:lang w:val="es-ES" w:eastAsia="es-ES"/>
        </w:rPr>
        <w:t>N° 1</w:t>
      </w:r>
      <w:r w:rsidRPr="00BB53C0">
        <w:rPr>
          <w:rFonts w:ascii="Arial" w:eastAsia="Times New Roman" w:hAnsi="Arial" w:cs="Arial"/>
          <w:sz w:val="24"/>
          <w:szCs w:val="24"/>
          <w:lang w:val="es-ES" w:eastAsia="es-ES"/>
        </w:rPr>
        <w:t>. Viernes 3 de julio de 2020.</w:t>
      </w:r>
    </w:p>
    <w:p w14:paraId="49CFCDA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u w:val="single"/>
          <w:lang w:val="es-ES" w:eastAsia="es-ES"/>
        </w:rPr>
        <w:t>Asistentes</w:t>
      </w:r>
      <w:r w:rsidRPr="00BB53C0">
        <w:rPr>
          <w:rFonts w:ascii="Arial" w:eastAsia="Times New Roman" w:hAnsi="Arial" w:cs="Arial"/>
          <w:sz w:val="24"/>
          <w:szCs w:val="24"/>
          <w:lang w:val="es-ES" w:eastAsia="es-ES"/>
        </w:rPr>
        <w:t>:</w:t>
      </w:r>
    </w:p>
    <w:p w14:paraId="441171B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6C44182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Karen Leiva, Jefa de la OCRI</w:t>
      </w:r>
    </w:p>
    <w:p w14:paraId="0B5E68A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Zahira Chavarría, profesional de la OCRI</w:t>
      </w:r>
    </w:p>
    <w:p w14:paraId="3FE0BCA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 Andrea Renauld letrada.</w:t>
      </w:r>
    </w:p>
    <w:p w14:paraId="2BB16C0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Tuvo como propósito revisar el documento base para el convenio de capacitación entre EL PAcCTO y el Poder Judicial. </w:t>
      </w:r>
    </w:p>
    <w:p w14:paraId="5089B523" w14:textId="77777777" w:rsidR="003513FD" w:rsidRPr="00BB53C0" w:rsidRDefault="003513FD" w:rsidP="003513FD">
      <w:pPr>
        <w:spacing w:line="360" w:lineRule="auto"/>
        <w:ind w:left="720"/>
        <w:contextualSpacing/>
        <w:jc w:val="both"/>
        <w:rPr>
          <w:rFonts w:ascii="Arial" w:eastAsia="Times New Roman" w:hAnsi="Arial" w:cs="Arial"/>
          <w:sz w:val="24"/>
          <w:szCs w:val="24"/>
          <w:lang w:val="es-ES"/>
        </w:rPr>
      </w:pPr>
    </w:p>
    <w:p w14:paraId="4DF6D7D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w:t>
      </w:r>
      <w:r w:rsidRPr="00BB53C0">
        <w:rPr>
          <w:rFonts w:ascii="Arial" w:eastAsia="Times New Roman" w:hAnsi="Arial" w:cs="Arial"/>
          <w:sz w:val="24"/>
          <w:szCs w:val="24"/>
          <w:lang w:val="es-ES" w:eastAsia="es-ES"/>
        </w:rPr>
        <w:t xml:space="preserve"> </w:t>
      </w:r>
      <w:r w:rsidRPr="00BB53C0">
        <w:rPr>
          <w:rFonts w:ascii="Arial" w:eastAsia="Times New Roman" w:hAnsi="Arial" w:cs="Arial"/>
          <w:b/>
          <w:bCs/>
          <w:sz w:val="24"/>
          <w:szCs w:val="24"/>
          <w:lang w:val="es-ES" w:eastAsia="es-ES"/>
        </w:rPr>
        <w:t>N°</w:t>
      </w:r>
      <w:r w:rsidRPr="00BB53C0">
        <w:rPr>
          <w:rFonts w:ascii="Arial" w:eastAsia="Times New Roman" w:hAnsi="Arial" w:cs="Arial"/>
          <w:sz w:val="24"/>
          <w:szCs w:val="24"/>
          <w:lang w:val="es-ES" w:eastAsia="es-ES"/>
        </w:rPr>
        <w:t xml:space="preserve"> </w:t>
      </w:r>
      <w:r w:rsidRPr="00BB53C0">
        <w:rPr>
          <w:rFonts w:ascii="Arial" w:eastAsia="Times New Roman" w:hAnsi="Arial" w:cs="Arial"/>
          <w:b/>
          <w:bCs/>
          <w:sz w:val="24"/>
          <w:szCs w:val="24"/>
          <w:lang w:val="es-ES" w:eastAsia="es-ES"/>
        </w:rPr>
        <w:t>2</w:t>
      </w:r>
      <w:r w:rsidRPr="00BB53C0">
        <w:rPr>
          <w:rFonts w:ascii="Arial" w:eastAsia="Times New Roman" w:hAnsi="Arial" w:cs="Arial"/>
          <w:sz w:val="24"/>
          <w:szCs w:val="24"/>
          <w:lang w:val="es-ES" w:eastAsia="es-ES"/>
        </w:rPr>
        <w:t>. Miércoles 8 de julio de 2020</w:t>
      </w:r>
    </w:p>
    <w:p w14:paraId="11C2D13C"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79E1AFE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 Morales</w:t>
      </w:r>
    </w:p>
    <w:p w14:paraId="622536B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Rebeca Guardia, Directora de la Escuela Judicial</w:t>
      </w:r>
    </w:p>
    <w:p w14:paraId="48B0B43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Flor Arroyo, Gestora de Capacitación de la Escuela Judicial</w:t>
      </w:r>
    </w:p>
    <w:p w14:paraId="3DFE827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Jueza María Aurelia Rodríguez Anchía</w:t>
      </w:r>
    </w:p>
    <w:p w14:paraId="67E0CD7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Andrea Renauld Castro, letrada. </w:t>
      </w:r>
    </w:p>
    <w:p w14:paraId="36369F0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 xml:space="preserve">Tuvo como propósito revisar las observaciones al “Módulo de Especialización en trámite de asuntos de la Jurisdicción de Crimen Organizado para personal técnico” – a cargo de Ma. Aurelia Rodríguez Anchía. </w:t>
      </w:r>
    </w:p>
    <w:p w14:paraId="687F98B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0213C2FD"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3. </w:t>
      </w:r>
      <w:r w:rsidRPr="00BB53C0">
        <w:rPr>
          <w:rFonts w:ascii="Arial" w:eastAsia="Times New Roman" w:hAnsi="Arial" w:cs="Arial"/>
          <w:sz w:val="24"/>
          <w:szCs w:val="24"/>
          <w:lang w:val="es-ES" w:eastAsia="es-ES"/>
        </w:rPr>
        <w:t>Jueves 9 de julio de 2020.</w:t>
      </w:r>
    </w:p>
    <w:p w14:paraId="4B2C111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u w:val="single"/>
          <w:lang w:val="es-ES" w:eastAsia="es-ES"/>
        </w:rPr>
        <w:t>Asistentes</w:t>
      </w:r>
      <w:r w:rsidRPr="00BB53C0">
        <w:rPr>
          <w:rFonts w:ascii="Arial" w:eastAsia="Times New Roman" w:hAnsi="Arial" w:cs="Arial"/>
          <w:sz w:val="24"/>
          <w:szCs w:val="24"/>
          <w:lang w:val="es-ES" w:eastAsia="es-ES"/>
        </w:rPr>
        <w:t>:</w:t>
      </w:r>
    </w:p>
    <w:p w14:paraId="74988D8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 Morales</w:t>
      </w:r>
    </w:p>
    <w:p w14:paraId="1B7958C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Rebeca Guardia, Directora a.i, de la Escuela Judicial</w:t>
      </w:r>
    </w:p>
    <w:p w14:paraId="19502FC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Flor Arroyo, Gestora de Capacitación de la Escuela Judicial </w:t>
      </w:r>
    </w:p>
    <w:p w14:paraId="34468CF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3C5F37">
        <w:rPr>
          <w:rFonts w:ascii="Arial" w:eastAsia="Times New Roman" w:hAnsi="Arial" w:cs="Arial"/>
          <w:sz w:val="24"/>
          <w:szCs w:val="24"/>
          <w:lang w:eastAsia="es-ES"/>
        </w:rPr>
        <w:t>Msc</w:t>
      </w:r>
      <w:r w:rsidRPr="00BB53C0">
        <w:rPr>
          <w:rFonts w:ascii="Arial" w:eastAsia="Times New Roman" w:hAnsi="Arial" w:cs="Arial"/>
          <w:sz w:val="24"/>
          <w:szCs w:val="24"/>
          <w:lang w:val="es-ES" w:eastAsia="es-ES"/>
        </w:rPr>
        <w:t>. Edwin Jiménez, Juez de Apelación de Sentencia Penal</w:t>
      </w:r>
    </w:p>
    <w:p w14:paraId="119A89C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Castro, letrada.</w:t>
      </w:r>
    </w:p>
    <w:p w14:paraId="70A3FA38"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Tuvo como propósito examinar las observaciones al “Módulo de </w:t>
      </w:r>
      <w:bookmarkStart w:id="26" w:name="_Hlk61903775"/>
      <w:r w:rsidRPr="00BB53C0">
        <w:rPr>
          <w:rFonts w:ascii="Arial" w:eastAsia="Times New Roman" w:hAnsi="Arial" w:cs="Arial"/>
          <w:sz w:val="24"/>
          <w:szCs w:val="24"/>
          <w:lang w:val="es-ES" w:eastAsia="es-ES"/>
        </w:rPr>
        <w:t xml:space="preserve">Especialización en la Jurisdicción de Crimen Organizado para personas juzgadoras” </w:t>
      </w:r>
      <w:bookmarkEnd w:id="26"/>
      <w:r w:rsidRPr="00BB53C0">
        <w:rPr>
          <w:rFonts w:ascii="Arial" w:eastAsia="Times New Roman" w:hAnsi="Arial" w:cs="Arial"/>
          <w:sz w:val="24"/>
          <w:szCs w:val="24"/>
          <w:lang w:val="es-ES" w:eastAsia="es-ES"/>
        </w:rPr>
        <w:t>– a cargo del Msc. Edwin Jiménez</w:t>
      </w:r>
    </w:p>
    <w:p w14:paraId="5DC32443" w14:textId="77777777" w:rsidR="003513FD" w:rsidRPr="00BB53C0" w:rsidRDefault="003513FD" w:rsidP="003513FD">
      <w:pPr>
        <w:spacing w:line="360" w:lineRule="auto"/>
        <w:ind w:left="720" w:firstLine="696"/>
        <w:contextualSpacing/>
        <w:jc w:val="both"/>
        <w:rPr>
          <w:rFonts w:ascii="Arial" w:eastAsia="Times New Roman" w:hAnsi="Arial" w:cs="Arial"/>
          <w:b/>
          <w:bCs/>
          <w:sz w:val="24"/>
          <w:szCs w:val="24"/>
          <w:lang w:val="es-ES"/>
        </w:rPr>
      </w:pPr>
    </w:p>
    <w:p w14:paraId="22530A2A" w14:textId="77777777" w:rsidR="003513FD" w:rsidRPr="00BB53C0" w:rsidRDefault="003513FD" w:rsidP="003513FD">
      <w:pPr>
        <w:spacing w:line="360" w:lineRule="auto"/>
        <w:ind w:left="720" w:firstLine="696"/>
        <w:contextualSpacing/>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Reunión N° 4.</w:t>
      </w:r>
      <w:r w:rsidRPr="00BB53C0">
        <w:rPr>
          <w:rFonts w:ascii="Arial" w:eastAsia="Times New Roman" w:hAnsi="Arial" w:cs="Arial"/>
          <w:sz w:val="24"/>
          <w:szCs w:val="24"/>
          <w:lang w:val="es-ES"/>
        </w:rPr>
        <w:t xml:space="preserve"> Martes 21 de julio de 2020</w:t>
      </w:r>
    </w:p>
    <w:p w14:paraId="66B9AF58"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7C88A4B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2125352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Zahira Chavarría</w:t>
      </w:r>
    </w:p>
    <w:p w14:paraId="2B7556D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Andrea Renauld, letrada. </w:t>
      </w:r>
    </w:p>
    <w:p w14:paraId="4F90392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Para revisar los aportes de la OCRI y de la Magistrada Zúñiga Morales, en relación con el documento base para futuras capacitaciones con EL PAcCTO</w:t>
      </w:r>
    </w:p>
    <w:p w14:paraId="6AECC9CE" w14:textId="77777777" w:rsidR="003513FD" w:rsidRPr="00BB53C0" w:rsidRDefault="003513FD" w:rsidP="003513FD">
      <w:pPr>
        <w:spacing w:line="360" w:lineRule="auto"/>
        <w:ind w:left="720"/>
        <w:contextualSpacing/>
        <w:jc w:val="both"/>
        <w:rPr>
          <w:rFonts w:ascii="Arial" w:eastAsia="Times New Roman" w:hAnsi="Arial" w:cs="Arial"/>
          <w:sz w:val="24"/>
          <w:szCs w:val="24"/>
          <w:lang w:val="es-ES"/>
        </w:rPr>
      </w:pPr>
    </w:p>
    <w:p w14:paraId="1906D8B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5</w:t>
      </w:r>
      <w:r w:rsidRPr="00BB53C0">
        <w:rPr>
          <w:rFonts w:ascii="Arial" w:eastAsia="Times New Roman" w:hAnsi="Arial" w:cs="Arial"/>
          <w:sz w:val="24"/>
          <w:szCs w:val="24"/>
          <w:lang w:val="es-ES" w:eastAsia="es-ES"/>
        </w:rPr>
        <w:t>. Jueves 23 de julio de 2020.</w:t>
      </w:r>
    </w:p>
    <w:p w14:paraId="36B518D5"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5C86853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2FB2312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Dr. Daniel González (FIU)</w:t>
      </w:r>
    </w:p>
    <w:p w14:paraId="6215782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Carmen Rodríguez (FIU), </w:t>
      </w:r>
    </w:p>
    <w:p w14:paraId="6CAEF36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Flor Arroyo, Gestora de Capacitación de la Escuela Judicial</w:t>
      </w:r>
    </w:p>
    <w:p w14:paraId="0EBC15E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60A0F8FC" w14:textId="77777777" w:rsidR="003513FD" w:rsidRPr="00BB53C0" w:rsidRDefault="003513FD" w:rsidP="003513FD">
      <w:pPr>
        <w:spacing w:line="360" w:lineRule="auto"/>
        <w:ind w:left="720" w:firstLine="696"/>
        <w:contextualSpacing/>
        <w:jc w:val="both"/>
        <w:rPr>
          <w:rFonts w:ascii="Arial" w:eastAsia="Times New Roman" w:hAnsi="Arial" w:cs="Arial"/>
          <w:sz w:val="24"/>
          <w:szCs w:val="24"/>
          <w:lang w:val="es-ES"/>
        </w:rPr>
      </w:pPr>
      <w:r w:rsidRPr="00BB53C0">
        <w:rPr>
          <w:rFonts w:ascii="Arial" w:eastAsia="Times New Roman" w:hAnsi="Arial" w:cs="Arial"/>
          <w:sz w:val="24"/>
          <w:szCs w:val="24"/>
          <w:lang w:val="es-ES"/>
        </w:rPr>
        <w:lastRenderedPageBreak/>
        <w:t>Simulacro previo a la inauguración de la I fase del Curso sobre Ciberdelincuencia.</w:t>
      </w:r>
    </w:p>
    <w:p w14:paraId="1A7CD2FC"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6.</w:t>
      </w:r>
      <w:r w:rsidRPr="00BB53C0">
        <w:rPr>
          <w:rFonts w:ascii="Arial" w:eastAsia="Times New Roman" w:hAnsi="Arial" w:cs="Arial"/>
          <w:sz w:val="24"/>
          <w:szCs w:val="24"/>
          <w:lang w:val="es-ES" w:eastAsia="es-ES"/>
        </w:rPr>
        <w:t xml:space="preserve"> Miércoles 29 de julio de 2020</w:t>
      </w:r>
    </w:p>
    <w:p w14:paraId="41B6D58E"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1E2B716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03AADEA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Dr. Alfredo Chirino (docente)</w:t>
      </w:r>
    </w:p>
    <w:p w14:paraId="4D2B8846" w14:textId="19301C2C" w:rsidR="003513FD" w:rsidRPr="00BB53C0" w:rsidRDefault="005F7288"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Dr.</w:t>
      </w:r>
      <w:r w:rsidR="003513FD" w:rsidRPr="00BB53C0">
        <w:rPr>
          <w:rFonts w:ascii="Arial" w:eastAsia="Times New Roman" w:hAnsi="Arial" w:cs="Arial"/>
          <w:sz w:val="24"/>
          <w:szCs w:val="24"/>
          <w:lang w:val="es-ES" w:eastAsia="es-ES"/>
        </w:rPr>
        <w:t xml:space="preserve"> Daniel González (FIU)</w:t>
      </w:r>
    </w:p>
    <w:p w14:paraId="1A17D1B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Rebeca Guardia (Escuela Judicial)</w:t>
      </w:r>
    </w:p>
    <w:p w14:paraId="1ED4ABE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Flor Arroyo (Escuela Judicial)</w:t>
      </w:r>
    </w:p>
    <w:p w14:paraId="5FD46C2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Inauguración de la fase I del Curso sobre Ciberdelincuencia, organizado con apoyo de la Embajada de los Estados Unidos, en, a partir de las 17:00 horas. </w:t>
      </w:r>
    </w:p>
    <w:p w14:paraId="7345F1D3" w14:textId="77777777" w:rsidR="003513FD" w:rsidRPr="00BB53C0" w:rsidRDefault="003513FD" w:rsidP="003513FD">
      <w:pPr>
        <w:spacing w:after="0" w:line="360" w:lineRule="auto"/>
        <w:jc w:val="both"/>
        <w:rPr>
          <w:rFonts w:ascii="Arial" w:eastAsia="Times New Roman" w:hAnsi="Arial" w:cs="Arial"/>
          <w:b/>
          <w:bCs/>
          <w:sz w:val="24"/>
          <w:szCs w:val="24"/>
          <w:lang w:val="es-ES" w:eastAsia="es-ES"/>
        </w:rPr>
      </w:pPr>
    </w:p>
    <w:p w14:paraId="5D5B2DCD"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w:t>
      </w:r>
      <w:r w:rsidRPr="00BB53C0">
        <w:rPr>
          <w:rFonts w:ascii="Arial" w:eastAsia="Times New Roman" w:hAnsi="Arial" w:cs="Arial"/>
          <w:sz w:val="24"/>
          <w:szCs w:val="24"/>
          <w:lang w:val="es-ES" w:eastAsia="es-ES"/>
        </w:rPr>
        <w:t xml:space="preserve"> </w:t>
      </w:r>
      <w:r w:rsidRPr="00BB53C0">
        <w:rPr>
          <w:rFonts w:ascii="Arial" w:eastAsia="Times New Roman" w:hAnsi="Arial" w:cs="Arial"/>
          <w:b/>
          <w:bCs/>
          <w:sz w:val="24"/>
          <w:szCs w:val="24"/>
          <w:lang w:val="es-ES" w:eastAsia="es-ES"/>
        </w:rPr>
        <w:t>N° 7</w:t>
      </w:r>
      <w:r w:rsidRPr="00BB53C0">
        <w:rPr>
          <w:rFonts w:ascii="Arial" w:eastAsia="Times New Roman" w:hAnsi="Arial" w:cs="Arial"/>
          <w:sz w:val="24"/>
          <w:szCs w:val="24"/>
          <w:lang w:val="es-ES" w:eastAsia="es-ES"/>
        </w:rPr>
        <w:t>.  Martes 4 de agosto de 2020.</w:t>
      </w:r>
    </w:p>
    <w:p w14:paraId="0DF8FEF2"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 xml:space="preserve">Asistentes: </w:t>
      </w:r>
    </w:p>
    <w:p w14:paraId="24594BD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Sandra Zúñiga Morales</w:t>
      </w:r>
    </w:p>
    <w:p w14:paraId="10BFBE0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Zahira Chavarría (OCRI)</w:t>
      </w:r>
    </w:p>
    <w:p w14:paraId="26EA694A" w14:textId="441DBE92" w:rsidR="003513FD" w:rsidRPr="00BB53C0" w:rsidRDefault="005F7288"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w:t>
      </w:r>
      <w:r w:rsidR="003513FD" w:rsidRPr="00BB53C0">
        <w:rPr>
          <w:rFonts w:ascii="Arial" w:eastAsia="Times New Roman" w:hAnsi="Arial" w:cs="Arial"/>
          <w:sz w:val="24"/>
          <w:szCs w:val="24"/>
          <w:lang w:val="es-ES" w:eastAsia="es-ES"/>
        </w:rPr>
        <w:t xml:space="preserve"> Rebeca Guardia (Directora Escuela Judicial)</w:t>
      </w:r>
    </w:p>
    <w:p w14:paraId="09D605B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Flor Arroyo (Escuela Judicial)</w:t>
      </w:r>
    </w:p>
    <w:p w14:paraId="72A5078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Marisol Barboza (Escuela Judicial) </w:t>
      </w:r>
    </w:p>
    <w:p w14:paraId="401FAB8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1A0424E6"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Previa a devolución de observaciones sobre documento base del proyecto de especialización en temas de interés para la jurisdicción de Delincuencia Organizada, con Grupo EL PAcCTO.</w:t>
      </w:r>
    </w:p>
    <w:p w14:paraId="2C0850A4" w14:textId="77777777" w:rsidR="003513FD" w:rsidRPr="00BB53C0" w:rsidRDefault="003513FD" w:rsidP="003513FD">
      <w:pPr>
        <w:spacing w:after="0" w:line="360" w:lineRule="auto"/>
        <w:jc w:val="both"/>
        <w:rPr>
          <w:rFonts w:ascii="Arial" w:eastAsia="Times New Roman" w:hAnsi="Arial" w:cs="Arial"/>
          <w:b/>
          <w:bCs/>
          <w:sz w:val="24"/>
          <w:szCs w:val="24"/>
          <w:lang w:val="es-ES" w:eastAsia="es-ES"/>
        </w:rPr>
      </w:pPr>
    </w:p>
    <w:p w14:paraId="560A692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w:t>
      </w:r>
      <w:r w:rsidRPr="00BB53C0">
        <w:rPr>
          <w:rFonts w:ascii="Arial" w:eastAsia="Times New Roman" w:hAnsi="Arial" w:cs="Arial"/>
          <w:sz w:val="24"/>
          <w:szCs w:val="24"/>
          <w:lang w:val="es-ES" w:eastAsia="es-ES"/>
        </w:rPr>
        <w:t xml:space="preserve"> </w:t>
      </w:r>
      <w:r w:rsidRPr="00BB53C0">
        <w:rPr>
          <w:rFonts w:ascii="Arial" w:eastAsia="Times New Roman" w:hAnsi="Arial" w:cs="Arial"/>
          <w:b/>
          <w:bCs/>
          <w:sz w:val="24"/>
          <w:szCs w:val="24"/>
          <w:lang w:val="es-ES" w:eastAsia="es-ES"/>
        </w:rPr>
        <w:t xml:space="preserve">N° 8. </w:t>
      </w:r>
      <w:r w:rsidRPr="00BB53C0">
        <w:rPr>
          <w:rFonts w:ascii="Arial" w:eastAsia="Times New Roman" w:hAnsi="Arial" w:cs="Arial"/>
          <w:sz w:val="24"/>
          <w:szCs w:val="24"/>
          <w:lang w:val="es-ES" w:eastAsia="es-ES"/>
        </w:rPr>
        <w:t>Jueves 6 de agosto 2020</w:t>
      </w:r>
    </w:p>
    <w:p w14:paraId="68722675"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7E3A566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Zúñiga </w:t>
      </w:r>
    </w:p>
    <w:p w14:paraId="1F11AFF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Rebeca Guardia, Directora de la Escuela Judicial</w:t>
      </w:r>
    </w:p>
    <w:p w14:paraId="04979A9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María Oset (Paccto)</w:t>
      </w:r>
    </w:p>
    <w:p w14:paraId="4711D41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Lic. Karen Leiva (OCRI)</w:t>
      </w:r>
    </w:p>
    <w:p w14:paraId="120161C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Zahira Chavarría (OCRI) </w:t>
      </w:r>
    </w:p>
    <w:p w14:paraId="5A10BB5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 xml:space="preserve">Andrea Renauld (letrada) </w:t>
      </w:r>
    </w:p>
    <w:p w14:paraId="4EF03E0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Para revisión de las observaciones realizadas al documento base para la aprobación de un convenio entre EL PAcCTO y Costa Rica, a fin de realizar cursos de especialización en los temas específicos de: 1) Autoría y participación en delincuencia organizada; 2) Red Jaguar y delitos ambientales; 3) Soborno trasnacional y recuperación de activos. </w:t>
      </w:r>
    </w:p>
    <w:p w14:paraId="7188F75F" w14:textId="77777777" w:rsidR="003513FD" w:rsidRPr="00BB53C0" w:rsidRDefault="003513FD" w:rsidP="003513FD">
      <w:pPr>
        <w:spacing w:after="0" w:line="360" w:lineRule="auto"/>
        <w:jc w:val="both"/>
        <w:rPr>
          <w:rFonts w:ascii="Arial" w:eastAsia="Times New Roman" w:hAnsi="Arial" w:cs="Arial"/>
          <w:b/>
          <w:bCs/>
          <w:sz w:val="24"/>
          <w:szCs w:val="24"/>
          <w:lang w:val="es-ES" w:eastAsia="es-ES"/>
        </w:rPr>
      </w:pPr>
    </w:p>
    <w:p w14:paraId="2E86ED60"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9. </w:t>
      </w:r>
      <w:r w:rsidRPr="00BB53C0">
        <w:rPr>
          <w:rFonts w:ascii="Arial" w:eastAsia="Times New Roman" w:hAnsi="Arial" w:cs="Arial"/>
          <w:bCs/>
          <w:sz w:val="24"/>
          <w:szCs w:val="24"/>
          <w:lang w:val="es-ES" w:eastAsia="es-ES"/>
        </w:rPr>
        <w:t>Martes</w:t>
      </w:r>
      <w:r w:rsidRPr="00BB53C0">
        <w:rPr>
          <w:rFonts w:ascii="Arial" w:eastAsia="Times New Roman" w:hAnsi="Arial" w:cs="Arial"/>
          <w:b/>
          <w:bCs/>
          <w:sz w:val="24"/>
          <w:szCs w:val="24"/>
          <w:lang w:val="es-ES" w:eastAsia="es-ES"/>
        </w:rPr>
        <w:t xml:space="preserve"> </w:t>
      </w:r>
      <w:r w:rsidRPr="00BB53C0">
        <w:rPr>
          <w:rFonts w:ascii="Arial" w:eastAsia="Times New Roman" w:hAnsi="Arial" w:cs="Arial"/>
          <w:sz w:val="24"/>
          <w:szCs w:val="24"/>
          <w:lang w:val="es-ES" w:eastAsia="es-ES"/>
        </w:rPr>
        <w:t>11 de agosto de 2020</w:t>
      </w:r>
    </w:p>
    <w:p w14:paraId="094D4B14"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 xml:space="preserve">Asistentes: </w:t>
      </w:r>
    </w:p>
    <w:p w14:paraId="7545F18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174F381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Mayra Campos (Fiscalía)</w:t>
      </w:r>
    </w:p>
    <w:p w14:paraId="5527637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Gerald Campos, Subdirector del OIJ</w:t>
      </w:r>
    </w:p>
    <w:p w14:paraId="631F539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Erick Núñez (Defensa Pública)</w:t>
      </w:r>
    </w:p>
    <w:p w14:paraId="43D6009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Lic. Juan Gonzalo Forero (Defensa Pública) </w:t>
      </w:r>
    </w:p>
    <w:p w14:paraId="03E1D16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092A9AB6" w14:textId="48F34AEF"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 fin de discutir </w:t>
      </w:r>
      <w:r w:rsidR="003C5F37" w:rsidRPr="00BB53C0">
        <w:rPr>
          <w:rFonts w:ascii="Arial" w:eastAsia="Times New Roman" w:hAnsi="Arial" w:cs="Arial"/>
          <w:sz w:val="24"/>
          <w:szCs w:val="24"/>
          <w:lang w:val="es-ES" w:eastAsia="es-ES"/>
        </w:rPr>
        <w:t>los subsiguientes temas</w:t>
      </w:r>
      <w:r w:rsidRPr="00BB53C0">
        <w:rPr>
          <w:rFonts w:ascii="Arial" w:eastAsia="Times New Roman" w:hAnsi="Arial" w:cs="Arial"/>
          <w:sz w:val="24"/>
          <w:szCs w:val="24"/>
          <w:lang w:val="es-ES" w:eastAsia="es-ES"/>
        </w:rPr>
        <w:t xml:space="preserve"> de interés para capacitaciones a cargo de Florida International University (FIU, Proyecto INL), así como el proyecto con la Embajada relacionado con la adaptación de salas de juicio a los requerimientos de realización de audiencias de Delincuencia Organizada, y otros requerimientos materiales. </w:t>
      </w:r>
    </w:p>
    <w:p w14:paraId="427DE02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720C2BAD"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10. </w:t>
      </w:r>
      <w:r w:rsidRPr="00BB53C0">
        <w:rPr>
          <w:rFonts w:ascii="Arial" w:eastAsia="Times New Roman" w:hAnsi="Arial" w:cs="Arial"/>
          <w:sz w:val="24"/>
          <w:szCs w:val="24"/>
          <w:lang w:val="es-ES" w:eastAsia="es-ES"/>
        </w:rPr>
        <w:t>Jueves</w:t>
      </w:r>
      <w:r w:rsidRPr="00BB53C0">
        <w:rPr>
          <w:rFonts w:ascii="Arial" w:eastAsia="Times New Roman" w:hAnsi="Arial" w:cs="Arial"/>
          <w:b/>
          <w:bCs/>
          <w:sz w:val="24"/>
          <w:szCs w:val="24"/>
          <w:lang w:val="es-ES" w:eastAsia="es-ES"/>
        </w:rPr>
        <w:t xml:space="preserve"> </w:t>
      </w:r>
      <w:r w:rsidRPr="00BB53C0">
        <w:rPr>
          <w:rFonts w:ascii="Arial" w:eastAsia="Times New Roman" w:hAnsi="Arial" w:cs="Arial"/>
          <w:sz w:val="24"/>
          <w:szCs w:val="24"/>
          <w:lang w:val="es-ES" w:eastAsia="es-ES"/>
        </w:rPr>
        <w:t>13 de agosto de 2020</w:t>
      </w:r>
    </w:p>
    <w:p w14:paraId="57F475F2"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585DA68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1BCB165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Katherine Reyes</w:t>
      </w:r>
    </w:p>
    <w:p w14:paraId="5924B40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Ligia Monge</w:t>
      </w:r>
    </w:p>
    <w:p w14:paraId="701BB27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Frank Harbottle </w:t>
      </w:r>
    </w:p>
    <w:p w14:paraId="719A0FA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w:t>
      </w:r>
    </w:p>
    <w:p w14:paraId="3E56D80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Para revisión de asuntos pendientes y avances en Comisiones. </w:t>
      </w:r>
    </w:p>
    <w:p w14:paraId="24AA491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33C34C0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11. </w:t>
      </w:r>
      <w:r w:rsidRPr="00BB53C0">
        <w:rPr>
          <w:rFonts w:ascii="Arial" w:eastAsia="Times New Roman" w:hAnsi="Arial" w:cs="Arial"/>
          <w:sz w:val="24"/>
          <w:szCs w:val="24"/>
          <w:lang w:val="es-ES" w:eastAsia="es-ES"/>
        </w:rPr>
        <w:t>Miércoles 2 de septiembre de 2020</w:t>
      </w:r>
    </w:p>
    <w:p w14:paraId="664788DE"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615AA9E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Magistrada Sandra Zúñiga</w:t>
      </w:r>
    </w:p>
    <w:p w14:paraId="6E35DDE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Katherine Reyes</w:t>
      </w:r>
    </w:p>
    <w:p w14:paraId="238F144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Ligia Monge</w:t>
      </w:r>
    </w:p>
    <w:p w14:paraId="430AB41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Frank Harbottle </w:t>
      </w:r>
    </w:p>
    <w:p w14:paraId="0CAC130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w:t>
      </w:r>
    </w:p>
    <w:p w14:paraId="4062B54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Para revisión de asuntos pendientes y avances en Comisiones. </w:t>
      </w:r>
    </w:p>
    <w:p w14:paraId="25D063E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4695F80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12</w:t>
      </w:r>
      <w:r w:rsidRPr="00BB53C0">
        <w:rPr>
          <w:rFonts w:ascii="Arial" w:eastAsia="Times New Roman" w:hAnsi="Arial" w:cs="Arial"/>
          <w:sz w:val="24"/>
          <w:szCs w:val="24"/>
          <w:lang w:val="es-ES" w:eastAsia="es-ES"/>
        </w:rPr>
        <w:t>.  Miércoles 2 de septiembre de 2020</w:t>
      </w:r>
    </w:p>
    <w:p w14:paraId="0258ED3A"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289184E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Patricia Solano</w:t>
      </w:r>
    </w:p>
    <w:p w14:paraId="71A3E8D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38291C1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Jacob M. Dotty (Embajada Estados Unidos)</w:t>
      </w:r>
    </w:p>
    <w:p w14:paraId="1C273BA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Mitssy Rovira (INL)</w:t>
      </w:r>
    </w:p>
    <w:p w14:paraId="2828505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Daniel González (FIU)</w:t>
      </w:r>
    </w:p>
    <w:p w14:paraId="2D9E9E7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Ana Carazo (FIU)</w:t>
      </w:r>
    </w:p>
    <w:p w14:paraId="393280B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Carmen Rodríguez (consultora FIU)</w:t>
      </w:r>
    </w:p>
    <w:p w14:paraId="6181CB5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4B63C6E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De la Sub Comisión de Delincuencia Organizada con personeros de INL y Florida International University.</w:t>
      </w:r>
    </w:p>
    <w:p w14:paraId="4DD1E85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08CAADA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13</w:t>
      </w:r>
      <w:r w:rsidRPr="00BB53C0">
        <w:rPr>
          <w:rFonts w:ascii="Arial" w:eastAsia="Times New Roman" w:hAnsi="Arial" w:cs="Arial"/>
          <w:sz w:val="24"/>
          <w:szCs w:val="24"/>
          <w:lang w:val="es-ES" w:eastAsia="es-ES"/>
        </w:rPr>
        <w:t>. Jueves 17 de septiembre de 2020</w:t>
      </w:r>
    </w:p>
    <w:p w14:paraId="62743F39"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20AA54F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418A206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Daniel González</w:t>
      </w:r>
    </w:p>
    <w:p w14:paraId="6B09203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Carmen Rodríguez</w:t>
      </w:r>
    </w:p>
    <w:p w14:paraId="582615A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4818A31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Personeros de Florida International University, la cual tuvo como objetivo conversar sobre resultados y fases futuras de capacitación en delincuencia organizada, correspondientes al Proyecto INL-Poder Judicial. </w:t>
      </w:r>
    </w:p>
    <w:p w14:paraId="7436A9BC"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701A8A7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14. </w:t>
      </w:r>
      <w:r w:rsidRPr="00BB53C0">
        <w:rPr>
          <w:rFonts w:ascii="Arial" w:eastAsia="Times New Roman" w:hAnsi="Arial" w:cs="Arial"/>
          <w:sz w:val="24"/>
          <w:szCs w:val="24"/>
          <w:lang w:val="es-ES" w:eastAsia="es-ES"/>
        </w:rPr>
        <w:t>Miércoles 30 de setiembre de 2020</w:t>
      </w:r>
    </w:p>
    <w:p w14:paraId="453E796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u w:val="single"/>
          <w:lang w:val="es-ES" w:eastAsia="es-ES"/>
        </w:rPr>
        <w:lastRenderedPageBreak/>
        <w:t>Asistentes</w:t>
      </w:r>
      <w:r w:rsidRPr="00BB53C0">
        <w:rPr>
          <w:rFonts w:ascii="Arial" w:eastAsia="Times New Roman" w:hAnsi="Arial" w:cs="Arial"/>
          <w:sz w:val="24"/>
          <w:szCs w:val="24"/>
          <w:lang w:val="es-ES" w:eastAsia="es-ES"/>
        </w:rPr>
        <w:t>:</w:t>
      </w:r>
    </w:p>
    <w:p w14:paraId="08C4489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6D21E9C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Priscilla Hernández</w:t>
      </w:r>
    </w:p>
    <w:p w14:paraId="49133D9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Mitssy Rovira (INL)</w:t>
      </w:r>
    </w:p>
    <w:p w14:paraId="022F3EF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Lisa Le Sage (INL) </w:t>
      </w:r>
    </w:p>
    <w:p w14:paraId="698EA95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Daniel González (FIU)</w:t>
      </w:r>
    </w:p>
    <w:p w14:paraId="21048B1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Ana Carazo (FIU)</w:t>
      </w:r>
    </w:p>
    <w:p w14:paraId="4658B93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Carmen Rodríguez (FIU) </w:t>
      </w:r>
    </w:p>
    <w:p w14:paraId="54C62DE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51DABB5F" w14:textId="77777777" w:rsidR="003513FD" w:rsidRPr="00BB53C0" w:rsidRDefault="003513FD" w:rsidP="003513FD">
      <w:pPr>
        <w:spacing w:line="360" w:lineRule="auto"/>
        <w:ind w:left="720"/>
        <w:contextualSpacing/>
        <w:jc w:val="both"/>
        <w:rPr>
          <w:rFonts w:ascii="Arial" w:eastAsia="Times New Roman" w:hAnsi="Arial" w:cs="Arial"/>
          <w:sz w:val="24"/>
          <w:szCs w:val="24"/>
          <w:lang w:val="es-ES"/>
        </w:rPr>
      </w:pPr>
    </w:p>
    <w:p w14:paraId="4F5312EA" w14:textId="4EDD995F"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15</w:t>
      </w:r>
      <w:r w:rsidRPr="00BB53C0">
        <w:rPr>
          <w:rFonts w:ascii="Arial" w:eastAsia="Times New Roman" w:hAnsi="Arial" w:cs="Arial"/>
          <w:sz w:val="24"/>
          <w:szCs w:val="24"/>
          <w:lang w:val="es-ES" w:eastAsia="es-ES"/>
        </w:rPr>
        <w:t xml:space="preserve">. </w:t>
      </w:r>
      <w:r w:rsidR="005F7288" w:rsidRPr="00BB53C0">
        <w:rPr>
          <w:rFonts w:ascii="Arial" w:eastAsia="Times New Roman" w:hAnsi="Arial" w:cs="Arial"/>
          <w:sz w:val="24"/>
          <w:szCs w:val="24"/>
          <w:lang w:val="es-ES" w:eastAsia="es-ES"/>
        </w:rPr>
        <w:t>Jueves 8</w:t>
      </w:r>
      <w:r w:rsidRPr="00BB53C0">
        <w:rPr>
          <w:rFonts w:ascii="Arial" w:eastAsia="Times New Roman" w:hAnsi="Arial" w:cs="Arial"/>
          <w:sz w:val="24"/>
          <w:szCs w:val="24"/>
          <w:lang w:val="es-ES" w:eastAsia="es-ES"/>
        </w:rPr>
        <w:t xml:space="preserve"> de octubre de 2020</w:t>
      </w:r>
    </w:p>
    <w:p w14:paraId="410967F6"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20E610C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Sandra Zúñiga</w:t>
      </w:r>
    </w:p>
    <w:p w14:paraId="351D5B0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Daniel González (FIU)</w:t>
      </w:r>
    </w:p>
    <w:p w14:paraId="423B28F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Ana Cecilia Calvo </w:t>
      </w:r>
    </w:p>
    <w:p w14:paraId="729F4F63"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Para presentación de proyecto sobre Protocolos de Seguridad.</w:t>
      </w:r>
    </w:p>
    <w:p w14:paraId="64B589F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237BA706"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16</w:t>
      </w:r>
      <w:r w:rsidRPr="00BB53C0">
        <w:rPr>
          <w:rFonts w:ascii="Arial" w:eastAsia="Times New Roman" w:hAnsi="Arial" w:cs="Arial"/>
          <w:sz w:val="24"/>
          <w:szCs w:val="24"/>
          <w:lang w:val="es-ES" w:eastAsia="es-ES"/>
        </w:rPr>
        <w:t xml:space="preserve">. Miércoles 14 de octubre de 2020de </w:t>
      </w:r>
    </w:p>
    <w:p w14:paraId="59C34B2C"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3427C77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Patricia Solano</w:t>
      </w:r>
    </w:p>
    <w:p w14:paraId="751B794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Sandra Zúñiga</w:t>
      </w:r>
    </w:p>
    <w:p w14:paraId="3A08148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Priscilla Hernández (INL)</w:t>
      </w:r>
    </w:p>
    <w:p w14:paraId="6308250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Lisa Le Sage (INL)</w:t>
      </w:r>
    </w:p>
    <w:p w14:paraId="4A81814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 Charles Caruso (INL) </w:t>
      </w:r>
    </w:p>
    <w:p w14:paraId="6548F3F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3AC4BBB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2861A1D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448B5AF9"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17.</w:t>
      </w:r>
      <w:r w:rsidRPr="00BB53C0">
        <w:rPr>
          <w:rFonts w:ascii="Arial" w:eastAsia="Times New Roman" w:hAnsi="Arial" w:cs="Arial"/>
          <w:sz w:val="24"/>
          <w:szCs w:val="24"/>
          <w:lang w:val="es-ES" w:eastAsia="es-ES"/>
        </w:rPr>
        <w:t xml:space="preserve"> Jueves 15 de octubre de 2020</w:t>
      </w:r>
    </w:p>
    <w:p w14:paraId="312DEB6F"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 xml:space="preserve">Asistentes: </w:t>
      </w:r>
    </w:p>
    <w:p w14:paraId="49ADC72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2ABE2E7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Karen Leiva (OCRI)</w:t>
      </w:r>
    </w:p>
    <w:p w14:paraId="5D09320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 xml:space="preserve">Sra. Zahira Chavarría </w:t>
      </w:r>
    </w:p>
    <w:p w14:paraId="44D1AD4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3AF1827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Reunión preparatoria previa al conversatorio con grupo EL PAcCTO, sobre definición de tema y modalidad de realización de cursos de especialización a futuro, en temas de Delincuencia Organizada. </w:t>
      </w:r>
    </w:p>
    <w:p w14:paraId="5E26EADE"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160D261C"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18.</w:t>
      </w:r>
      <w:r w:rsidRPr="00BB53C0">
        <w:rPr>
          <w:rFonts w:ascii="Arial" w:eastAsia="Times New Roman" w:hAnsi="Arial" w:cs="Arial"/>
          <w:sz w:val="24"/>
          <w:szCs w:val="24"/>
          <w:lang w:val="es-ES" w:eastAsia="es-ES"/>
        </w:rPr>
        <w:t xml:space="preserve"> Martes 20 de octubre de 2020</w:t>
      </w:r>
    </w:p>
    <w:p w14:paraId="117BC36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u w:val="single"/>
          <w:lang w:val="es-ES" w:eastAsia="es-ES"/>
        </w:rPr>
        <w:t>Asistentes</w:t>
      </w:r>
      <w:r w:rsidRPr="00BB53C0">
        <w:rPr>
          <w:rFonts w:ascii="Arial" w:eastAsia="Times New Roman" w:hAnsi="Arial" w:cs="Arial"/>
          <w:sz w:val="24"/>
          <w:szCs w:val="24"/>
          <w:lang w:val="es-ES" w:eastAsia="es-ES"/>
        </w:rPr>
        <w:t>:</w:t>
      </w:r>
    </w:p>
    <w:p w14:paraId="54035DD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Sandra Zúñiga</w:t>
      </w:r>
    </w:p>
    <w:p w14:paraId="2033054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María Oset (Paccto)</w:t>
      </w:r>
    </w:p>
    <w:p w14:paraId="605D386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Gloria Alves (EL PAcCTO)</w:t>
      </w:r>
    </w:p>
    <w:p w14:paraId="734A6EB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Zahira Chavarría (OCRI)</w:t>
      </w:r>
    </w:p>
    <w:p w14:paraId="0986100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 (letrada).</w:t>
      </w:r>
    </w:p>
    <w:p w14:paraId="772213E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Con grupo EL PAcCTO, sobre Hoja de Ruta 2021 y realización de cursos de especialización en los temas de: 1) Autoría y participación en Delincuencia Organizada; 2) Soborno trasnacional y recuperación de capitales; 3) Red Jaguar y delitos ambientales. </w:t>
      </w:r>
    </w:p>
    <w:p w14:paraId="7161FDD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57555184"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19.</w:t>
      </w:r>
      <w:r w:rsidRPr="00BB53C0">
        <w:rPr>
          <w:rFonts w:ascii="Arial" w:eastAsia="Times New Roman" w:hAnsi="Arial" w:cs="Arial"/>
          <w:sz w:val="24"/>
          <w:szCs w:val="24"/>
          <w:lang w:val="es-ES" w:eastAsia="es-ES"/>
        </w:rPr>
        <w:t xml:space="preserve"> Miércoles de octubre de 2020, </w:t>
      </w:r>
    </w:p>
    <w:p w14:paraId="7F251861"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4D2542D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Sandra Zúñiga</w:t>
      </w:r>
    </w:p>
    <w:p w14:paraId="2982FB6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Walter Espinoza (Director OIJ)</w:t>
      </w:r>
    </w:p>
    <w:p w14:paraId="20F3F74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Erick Lewis (OIJ)</w:t>
      </w:r>
    </w:p>
    <w:p w14:paraId="4A61927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Mayra Campos (Ministerio Público)</w:t>
      </w:r>
    </w:p>
    <w:p w14:paraId="1C3BCF5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Erick Núñez (Defensa Pública)</w:t>
      </w:r>
    </w:p>
    <w:p w14:paraId="3D8F2C9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Juan Gonzalo Forero (Defensa Pública)</w:t>
      </w:r>
    </w:p>
    <w:p w14:paraId="38AE050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Yendry Portuguez (Defensa Pública)</w:t>
      </w:r>
    </w:p>
    <w:p w14:paraId="0703C08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Kattia Escalante (Directora a.i. Escuela Judicial), </w:t>
      </w:r>
    </w:p>
    <w:p w14:paraId="35FDAC7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Flor Arroyo (Gestora de Capacitación, Escuela Judicial) y Andrea Renauld (letrada).</w:t>
      </w:r>
    </w:p>
    <w:p w14:paraId="5FCF597A" w14:textId="77777777" w:rsidR="003513FD" w:rsidRPr="00BB53C0" w:rsidRDefault="003513FD" w:rsidP="003513FD">
      <w:pPr>
        <w:spacing w:line="360" w:lineRule="auto"/>
        <w:ind w:left="720"/>
        <w:contextualSpacing/>
        <w:jc w:val="both"/>
        <w:rPr>
          <w:rFonts w:ascii="Arial" w:eastAsia="Times New Roman" w:hAnsi="Arial" w:cs="Arial"/>
          <w:sz w:val="24"/>
          <w:szCs w:val="24"/>
          <w:lang w:val="es-ES"/>
        </w:rPr>
      </w:pPr>
    </w:p>
    <w:p w14:paraId="30A8994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20. </w:t>
      </w:r>
      <w:r w:rsidRPr="00BB53C0">
        <w:rPr>
          <w:rFonts w:ascii="Arial" w:eastAsia="Times New Roman" w:hAnsi="Arial" w:cs="Arial"/>
          <w:sz w:val="24"/>
          <w:szCs w:val="24"/>
          <w:lang w:val="es-ES" w:eastAsia="es-ES"/>
        </w:rPr>
        <w:t>Miércoles</w:t>
      </w:r>
      <w:r w:rsidRPr="00BB53C0">
        <w:rPr>
          <w:rFonts w:ascii="Arial" w:eastAsia="Times New Roman" w:hAnsi="Arial" w:cs="Arial"/>
          <w:b/>
          <w:bCs/>
          <w:sz w:val="24"/>
          <w:szCs w:val="24"/>
          <w:lang w:val="es-ES" w:eastAsia="es-ES"/>
        </w:rPr>
        <w:t xml:space="preserve"> </w:t>
      </w:r>
      <w:r w:rsidRPr="00BB53C0">
        <w:rPr>
          <w:rFonts w:ascii="Arial" w:eastAsia="Times New Roman" w:hAnsi="Arial" w:cs="Arial"/>
          <w:sz w:val="24"/>
          <w:szCs w:val="24"/>
          <w:lang w:val="es-ES" w:eastAsia="es-ES"/>
        </w:rPr>
        <w:t>4 de noviembre de 2020.</w:t>
      </w:r>
    </w:p>
    <w:p w14:paraId="4F0C16B9"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1DD0955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Magistrada Sandra Zúñiga</w:t>
      </w:r>
    </w:p>
    <w:p w14:paraId="65FD23A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Katherine Reyes</w:t>
      </w:r>
    </w:p>
    <w:p w14:paraId="3B4DDF1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Ligia Monge</w:t>
      </w:r>
    </w:p>
    <w:p w14:paraId="35734C6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Frank Harbottle </w:t>
      </w:r>
    </w:p>
    <w:p w14:paraId="2346818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Andrea Renauld</w:t>
      </w:r>
    </w:p>
    <w:p w14:paraId="62E3F2C8"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Para revisión de asuntos pendientes y avances en Comisiones. </w:t>
      </w:r>
    </w:p>
    <w:p w14:paraId="5DE5BB38" w14:textId="77777777" w:rsidR="003513FD" w:rsidRPr="00BB53C0" w:rsidRDefault="003513FD" w:rsidP="003513FD">
      <w:pPr>
        <w:spacing w:line="360" w:lineRule="auto"/>
        <w:ind w:left="720"/>
        <w:contextualSpacing/>
        <w:jc w:val="both"/>
        <w:rPr>
          <w:rFonts w:ascii="Arial" w:eastAsia="Times New Roman" w:hAnsi="Arial" w:cs="Arial"/>
          <w:sz w:val="24"/>
          <w:szCs w:val="24"/>
          <w:lang w:val="es-ES"/>
        </w:rPr>
      </w:pPr>
    </w:p>
    <w:p w14:paraId="514C480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21. </w:t>
      </w:r>
      <w:r w:rsidRPr="00BB53C0">
        <w:rPr>
          <w:rFonts w:ascii="Arial" w:eastAsia="Times New Roman" w:hAnsi="Arial" w:cs="Arial"/>
          <w:sz w:val="24"/>
          <w:szCs w:val="24"/>
          <w:lang w:val="es-ES" w:eastAsia="es-ES"/>
        </w:rPr>
        <w:t xml:space="preserve"> Jueves 5 de noviembre de 2020</w:t>
      </w:r>
    </w:p>
    <w:p w14:paraId="76734772"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3F88CEA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 Sandra Zúñiga</w:t>
      </w:r>
    </w:p>
    <w:p w14:paraId="7E6BFE2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Daniel González (invitado/expositor FIU)</w:t>
      </w:r>
    </w:p>
    <w:p w14:paraId="1003290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Mayra Campos (Ministerio Público)</w:t>
      </w:r>
    </w:p>
    <w:p w14:paraId="644A481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Gerald Campos (OIJ)</w:t>
      </w:r>
    </w:p>
    <w:p w14:paraId="10BB691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Erick Lewis (OIJ),</w:t>
      </w:r>
    </w:p>
    <w:p w14:paraId="00BAE0E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Juan Carlos Forero (Defensa Pública)</w:t>
      </w:r>
    </w:p>
    <w:p w14:paraId="1C5215E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Yendry Portuguez (Defensa Pública) </w:t>
      </w:r>
    </w:p>
    <w:p w14:paraId="141FADB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Andrea Renauld (letrada). </w:t>
      </w:r>
    </w:p>
    <w:p w14:paraId="1E58268D"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36CBC1F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22.</w:t>
      </w:r>
      <w:r w:rsidRPr="00BB53C0">
        <w:rPr>
          <w:rFonts w:ascii="Arial" w:eastAsia="Times New Roman" w:hAnsi="Arial" w:cs="Arial"/>
          <w:sz w:val="24"/>
          <w:szCs w:val="24"/>
          <w:lang w:val="es-ES" w:eastAsia="es-ES"/>
        </w:rPr>
        <w:t xml:space="preserve"> Jueves 19 de noviembre de 2020</w:t>
      </w:r>
    </w:p>
    <w:p w14:paraId="41DD98B5"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6D3823B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 Morales</w:t>
      </w:r>
    </w:p>
    <w:p w14:paraId="1DBF9DD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Mayra Campos Zúñiga (Ministerio Público)</w:t>
      </w:r>
    </w:p>
    <w:p w14:paraId="5B162F8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Jorge Blanco Matamoros (OIJ)</w:t>
      </w:r>
    </w:p>
    <w:p w14:paraId="7D29DDE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Gerald Campos Valverde (OIJ)</w:t>
      </w:r>
    </w:p>
    <w:p w14:paraId="4A33BA6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Sra. Yendry Portuguez Pizarro (Defensa Pública) </w:t>
      </w:r>
    </w:p>
    <w:p w14:paraId="3D83754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Sr. Juan Gonzalo Forero (Defensa Pública) </w:t>
      </w:r>
    </w:p>
    <w:p w14:paraId="77383AC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Andrea Renauld Castro (letrada). </w:t>
      </w:r>
    </w:p>
    <w:p w14:paraId="4332DCE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115134D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23.</w:t>
      </w:r>
      <w:r w:rsidRPr="00BB53C0">
        <w:rPr>
          <w:rFonts w:ascii="Arial" w:eastAsia="Times New Roman" w:hAnsi="Arial" w:cs="Arial"/>
          <w:sz w:val="24"/>
          <w:szCs w:val="24"/>
          <w:lang w:val="es-ES" w:eastAsia="es-ES"/>
        </w:rPr>
        <w:t xml:space="preserve">  Martes 15 de diciembre de 2020.</w:t>
      </w:r>
    </w:p>
    <w:p w14:paraId="73656C1B"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14F12AA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 Morales</w:t>
      </w:r>
    </w:p>
    <w:p w14:paraId="02FD9F8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Sr. Francisco Lemos Viquez</w:t>
      </w:r>
    </w:p>
    <w:p w14:paraId="56DE08F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Juan Lemus</w:t>
      </w:r>
    </w:p>
    <w:p w14:paraId="1F0A9612"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Para revisar los avances de las correcciones a los módulos de especialización en Delincuencia Organizada, asignados al sr. Francisco Lemus (Juez 5), con concesión de permiso con goce de salario. </w:t>
      </w:r>
    </w:p>
    <w:p w14:paraId="742BECB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5424B01F"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Reunión N° 24</w:t>
      </w:r>
      <w:r w:rsidRPr="00BB53C0">
        <w:rPr>
          <w:rFonts w:ascii="Arial" w:eastAsia="Times New Roman" w:hAnsi="Arial" w:cs="Arial"/>
          <w:sz w:val="24"/>
          <w:szCs w:val="24"/>
          <w:lang w:val="es-ES" w:eastAsia="es-ES"/>
        </w:rPr>
        <w:t>.  Martes 15 de diciembre de 2020</w:t>
      </w:r>
    </w:p>
    <w:p w14:paraId="1E85837C" w14:textId="77777777" w:rsidR="003513FD" w:rsidRPr="00BB53C0" w:rsidRDefault="003513FD" w:rsidP="003513FD">
      <w:pPr>
        <w:spacing w:after="0" w:line="360" w:lineRule="auto"/>
        <w:ind w:left="708" w:hanging="708"/>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0311E6F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Sandra Zúñiga</w:t>
      </w:r>
    </w:p>
    <w:p w14:paraId="60D57C8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Daniel González (FIU)</w:t>
      </w:r>
    </w:p>
    <w:p w14:paraId="7917EE4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Carmen Rodríguez (FIU)</w:t>
      </w:r>
    </w:p>
    <w:p w14:paraId="261C644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Andrea Renauld (letrada), </w:t>
      </w:r>
    </w:p>
    <w:p w14:paraId="2A40771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Y los nuevos participantes en el curso sobre Ciberdelincuencia: Srs. Marco Vinicio Bonilla Murillo, Maureen Sancho González, Frank Harbottle Quirós, Martha Brenes Montenegro, Lucía Rebeca Sánchez Jeimy Rojas Alvarado, Irma Patricia Carrillo, Gustavo Nájera Picado y Francisco Lemus.</w:t>
      </w:r>
    </w:p>
    <w:p w14:paraId="0624E7FA"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50E40DA7" w14:textId="77777777" w:rsidR="003513FD" w:rsidRPr="00BB53C0" w:rsidRDefault="003513FD" w:rsidP="00C10ACE">
      <w:pPr>
        <w:numPr>
          <w:ilvl w:val="1"/>
          <w:numId w:val="4"/>
        </w:numPr>
        <w:spacing w:after="0" w:line="360" w:lineRule="auto"/>
        <w:jc w:val="both"/>
        <w:rPr>
          <w:rFonts w:ascii="Arial" w:eastAsia="Times New Roman" w:hAnsi="Arial" w:cs="Arial"/>
          <w:b/>
          <w:bCs/>
          <w:sz w:val="24"/>
          <w:szCs w:val="24"/>
          <w:lang w:val="es-ES"/>
        </w:rPr>
      </w:pPr>
      <w:r w:rsidRPr="00BB53C0">
        <w:rPr>
          <w:rFonts w:ascii="Arial" w:eastAsia="Times New Roman" w:hAnsi="Arial" w:cs="Arial"/>
          <w:b/>
          <w:bCs/>
          <w:sz w:val="24"/>
          <w:szCs w:val="24"/>
          <w:lang w:val="es-ES"/>
        </w:rPr>
        <w:t>Redacción de oficios</w:t>
      </w:r>
    </w:p>
    <w:p w14:paraId="57ECA379"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2C4830B3" w14:textId="28F04D4C"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Oficio N° S-CJEDO-05-2020</w:t>
      </w:r>
      <w:r w:rsidRPr="00BB53C0">
        <w:rPr>
          <w:rFonts w:ascii="Arial" w:eastAsia="Times New Roman" w:hAnsi="Arial" w:cs="Arial"/>
          <w:sz w:val="24"/>
          <w:szCs w:val="24"/>
          <w:lang w:val="es-ES"/>
        </w:rPr>
        <w:t xml:space="preserve"> de fecha 10 de julio de 2020, en el que se solicitó a Consejo Superior, una ampliación a la circular N° 73-2019, relativa </w:t>
      </w:r>
      <w:r w:rsidR="005F7288" w:rsidRPr="00BB53C0">
        <w:rPr>
          <w:rFonts w:ascii="Arial" w:eastAsia="Times New Roman" w:hAnsi="Arial" w:cs="Arial"/>
          <w:sz w:val="24"/>
          <w:szCs w:val="24"/>
          <w:lang w:val="es-ES"/>
        </w:rPr>
        <w:t>a “</w:t>
      </w:r>
      <w:r w:rsidRPr="00BB53C0">
        <w:rPr>
          <w:rFonts w:ascii="Arial" w:eastAsia="Times New Roman" w:hAnsi="Arial" w:cs="Arial"/>
          <w:sz w:val="24"/>
          <w:szCs w:val="24"/>
          <w:lang w:val="es-ES"/>
        </w:rPr>
        <w:t>Mejoras en los sistemas para la identificación de casos de crimen organizado”.</w:t>
      </w:r>
    </w:p>
    <w:p w14:paraId="68811166" w14:textId="77777777" w:rsidR="003513FD" w:rsidRPr="00BB53C0" w:rsidRDefault="003513FD" w:rsidP="003513FD">
      <w:pPr>
        <w:spacing w:after="0" w:line="360" w:lineRule="auto"/>
        <w:ind w:left="1080"/>
        <w:jc w:val="both"/>
        <w:rPr>
          <w:rFonts w:ascii="Arial" w:eastAsia="Times New Roman" w:hAnsi="Arial" w:cs="Arial"/>
          <w:sz w:val="24"/>
          <w:szCs w:val="24"/>
          <w:lang w:val="es-ES"/>
        </w:rPr>
      </w:pPr>
    </w:p>
    <w:p w14:paraId="3A85761C"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Oficio N° S-CJEDO-06-2020</w:t>
      </w:r>
      <w:r w:rsidRPr="00BB53C0">
        <w:rPr>
          <w:rFonts w:ascii="Arial" w:eastAsia="Times New Roman" w:hAnsi="Arial" w:cs="Arial"/>
          <w:sz w:val="24"/>
          <w:szCs w:val="24"/>
          <w:lang w:val="es-ES"/>
        </w:rPr>
        <w:t xml:space="preserve"> de fecha 20 de julio de 2020, dirigido a Consejo Superior, en el que se solicita la autorización para ejecutar la I fase del curso de Ciberdelincuencia, del 29 de julio al 21de agosto de 2020. </w:t>
      </w:r>
    </w:p>
    <w:p w14:paraId="2D10D3E9" w14:textId="77777777" w:rsidR="003513FD" w:rsidRPr="00BB53C0" w:rsidRDefault="003513FD" w:rsidP="003513FD">
      <w:pPr>
        <w:spacing w:after="0" w:line="360" w:lineRule="auto"/>
        <w:ind w:left="1080"/>
        <w:jc w:val="both"/>
        <w:rPr>
          <w:rFonts w:ascii="Arial" w:eastAsia="Times New Roman" w:hAnsi="Arial" w:cs="Arial"/>
          <w:sz w:val="24"/>
          <w:szCs w:val="24"/>
          <w:lang w:val="es-ES"/>
        </w:rPr>
      </w:pPr>
    </w:p>
    <w:p w14:paraId="799E4CE9"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Oficio N° S-CJEDO-10-2020</w:t>
      </w:r>
      <w:r w:rsidRPr="00BB53C0">
        <w:rPr>
          <w:rFonts w:ascii="Arial" w:eastAsia="Times New Roman" w:hAnsi="Arial" w:cs="Arial"/>
          <w:sz w:val="24"/>
          <w:szCs w:val="24"/>
          <w:lang w:val="es-ES"/>
        </w:rPr>
        <w:t xml:space="preserve"> de fecha 18 de agosto de 2020, en el que se solicitó una variación de fechas y permisos para la realización de la I fase del curso sobre Ciberdelincuencia.</w:t>
      </w:r>
    </w:p>
    <w:p w14:paraId="48F97A7C"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25DCB9FF" w14:textId="77777777"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lastRenderedPageBreak/>
        <w:t>Oficio N° S-CJEDO-12-2020</w:t>
      </w:r>
      <w:r w:rsidRPr="00BB53C0">
        <w:rPr>
          <w:rFonts w:ascii="Arial" w:eastAsia="Times New Roman" w:hAnsi="Arial" w:cs="Arial"/>
          <w:sz w:val="24"/>
          <w:szCs w:val="24"/>
          <w:lang w:val="es-ES"/>
        </w:rPr>
        <w:t xml:space="preserve"> de fecha 20 de octubre de 2020, en el que se solicita a la Escuela Judicial, informar a la Sub Comisión de Delincuencia Organizada, sobre los avances en el proyecto de especialización regional en temas de Delincuencia Organizada, con Grupo </w:t>
      </w:r>
      <w:r w:rsidRPr="00BB53C0">
        <w:rPr>
          <w:rFonts w:ascii="Arial" w:eastAsia="Times New Roman" w:hAnsi="Arial" w:cs="Arial"/>
          <w:sz w:val="24"/>
          <w:szCs w:val="24"/>
          <w:lang w:val="es-ES" w:eastAsia="es-ES"/>
        </w:rPr>
        <w:t>EL PAcCTO</w:t>
      </w:r>
      <w:r w:rsidRPr="00BB53C0">
        <w:rPr>
          <w:rFonts w:ascii="Arial" w:eastAsia="Times New Roman" w:hAnsi="Arial" w:cs="Arial"/>
          <w:sz w:val="24"/>
          <w:szCs w:val="24"/>
          <w:lang w:val="es-ES"/>
        </w:rPr>
        <w:t>.</w:t>
      </w:r>
    </w:p>
    <w:p w14:paraId="1FD82209" w14:textId="77777777" w:rsidR="003513FD" w:rsidRPr="00BB53C0" w:rsidRDefault="003513FD" w:rsidP="003513FD">
      <w:pPr>
        <w:spacing w:after="0" w:line="360" w:lineRule="auto"/>
        <w:ind w:left="1080"/>
        <w:jc w:val="both"/>
        <w:rPr>
          <w:rFonts w:ascii="Arial" w:eastAsia="Times New Roman" w:hAnsi="Arial" w:cs="Arial"/>
          <w:sz w:val="24"/>
          <w:szCs w:val="24"/>
          <w:lang w:val="es-ES"/>
        </w:rPr>
      </w:pPr>
    </w:p>
    <w:p w14:paraId="419E882A" w14:textId="39030CB0" w:rsidR="003513FD" w:rsidRPr="00BB53C0" w:rsidRDefault="003513FD" w:rsidP="003513FD">
      <w:pPr>
        <w:spacing w:after="0" w:line="360" w:lineRule="auto"/>
        <w:ind w:firstLine="708"/>
        <w:jc w:val="both"/>
        <w:rPr>
          <w:rFonts w:ascii="Arial" w:eastAsia="Times New Roman" w:hAnsi="Arial" w:cs="Arial"/>
          <w:sz w:val="24"/>
          <w:szCs w:val="24"/>
          <w:lang w:val="es-ES"/>
        </w:rPr>
      </w:pPr>
      <w:r w:rsidRPr="00BB53C0">
        <w:rPr>
          <w:rFonts w:ascii="Arial" w:eastAsia="Times New Roman" w:hAnsi="Arial" w:cs="Arial"/>
          <w:b/>
          <w:bCs/>
          <w:sz w:val="24"/>
          <w:szCs w:val="24"/>
          <w:lang w:val="es-ES"/>
        </w:rPr>
        <w:t>Oficio N° S-CJEDO-13-2020</w:t>
      </w:r>
      <w:r w:rsidRPr="00BB53C0">
        <w:rPr>
          <w:rFonts w:ascii="Arial" w:eastAsia="Times New Roman" w:hAnsi="Arial" w:cs="Arial"/>
          <w:sz w:val="24"/>
          <w:szCs w:val="24"/>
          <w:lang w:val="es-ES"/>
        </w:rPr>
        <w:t xml:space="preserve"> de fecha 15 de diciembre de 2020, en respuesta </w:t>
      </w:r>
      <w:r w:rsidR="005F7288" w:rsidRPr="00BB53C0">
        <w:rPr>
          <w:rFonts w:ascii="Arial" w:eastAsia="Times New Roman" w:hAnsi="Arial" w:cs="Arial"/>
          <w:sz w:val="24"/>
          <w:szCs w:val="24"/>
          <w:lang w:val="es-ES"/>
        </w:rPr>
        <w:t>a la solicitud</w:t>
      </w:r>
      <w:r w:rsidRPr="00BB53C0">
        <w:rPr>
          <w:rFonts w:ascii="Arial" w:eastAsia="Times New Roman" w:hAnsi="Arial" w:cs="Arial"/>
          <w:sz w:val="24"/>
          <w:szCs w:val="24"/>
          <w:lang w:val="es-ES"/>
        </w:rPr>
        <w:t xml:space="preserve"> de información sobre cantidad de reuniones de la Sub Comisión de Delincuencia Organizada, realizada por el sr. Juan Gonzalo Forero. </w:t>
      </w:r>
    </w:p>
    <w:p w14:paraId="79DA8560" w14:textId="77777777" w:rsidR="003513FD" w:rsidRPr="00BB53C0" w:rsidRDefault="003513FD" w:rsidP="003513FD">
      <w:pPr>
        <w:spacing w:after="0" w:line="360" w:lineRule="auto"/>
        <w:ind w:left="1080"/>
        <w:jc w:val="both"/>
        <w:rPr>
          <w:rFonts w:ascii="Arial" w:eastAsia="Times New Roman" w:hAnsi="Arial" w:cs="Arial"/>
          <w:b/>
          <w:bCs/>
          <w:sz w:val="24"/>
          <w:szCs w:val="24"/>
          <w:lang w:val="es-ES"/>
        </w:rPr>
      </w:pPr>
    </w:p>
    <w:p w14:paraId="4F3BB713" w14:textId="77777777" w:rsidR="003513FD" w:rsidRPr="00BB53C0" w:rsidRDefault="003513FD" w:rsidP="00C10ACE">
      <w:pPr>
        <w:numPr>
          <w:ilvl w:val="1"/>
          <w:numId w:val="4"/>
        </w:numPr>
        <w:spacing w:after="0" w:line="360" w:lineRule="auto"/>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Redacción de otros documentos</w:t>
      </w:r>
    </w:p>
    <w:p w14:paraId="40EB2FD7" w14:textId="77777777" w:rsidR="003513FD" w:rsidRPr="00BB53C0" w:rsidRDefault="003513FD" w:rsidP="003513FD">
      <w:pPr>
        <w:spacing w:after="0" w:line="360" w:lineRule="auto"/>
        <w:ind w:left="1440"/>
        <w:jc w:val="both"/>
        <w:rPr>
          <w:rFonts w:ascii="Arial" w:eastAsia="Times New Roman" w:hAnsi="Arial" w:cs="Arial"/>
          <w:sz w:val="24"/>
          <w:szCs w:val="24"/>
          <w:lang w:val="es-ES"/>
        </w:rPr>
      </w:pPr>
    </w:p>
    <w:p w14:paraId="19972014"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1) Redacción de síntesis de los aspectos de interés detallados por la metodóloga Marisol Barboza, con miras a la aprobación del diseño curricular por parte de las Escuela Judicial, y su respectiva remisión al Dr. Alfredo Chirino, en fecha 15 de julio de 2020. </w:t>
      </w:r>
    </w:p>
    <w:p w14:paraId="55B651FE"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p>
    <w:p w14:paraId="4E7455FD"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2) Propuesta de proyecto de ley para llenar vacío en relación con el delito de proliferación de armas y su financiamiento, en fecha 5 de agosto de 2020</w:t>
      </w:r>
    </w:p>
    <w:p w14:paraId="6013A725"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3) Ampliación de circular existente sobre mejoras al sistema de identificación de casos de delincuencia organizada, con especial énfasis en la identificación de activos. </w:t>
      </w:r>
    </w:p>
    <w:p w14:paraId="6D002748" w14:textId="77777777" w:rsidR="003513FD" w:rsidRPr="00BB53C0" w:rsidRDefault="003513FD" w:rsidP="003513FD">
      <w:pPr>
        <w:spacing w:line="360" w:lineRule="auto"/>
        <w:ind w:left="1440"/>
        <w:contextualSpacing/>
        <w:jc w:val="both"/>
        <w:rPr>
          <w:rFonts w:ascii="Arial" w:eastAsia="Times New Roman" w:hAnsi="Arial" w:cs="Arial"/>
          <w:sz w:val="24"/>
          <w:szCs w:val="24"/>
          <w:lang w:val="es-ES"/>
        </w:rPr>
      </w:pPr>
    </w:p>
    <w:p w14:paraId="39EFE420" w14:textId="0908858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4) Recopilación y envío al Sr. Antonio Roma, de Grupo EL PAcCTO, de normativa costarricense de interés para los temas de: 1) Autoría y participación en delincuencia </w:t>
      </w:r>
      <w:r w:rsidR="005F7288" w:rsidRPr="00BB53C0">
        <w:rPr>
          <w:rFonts w:ascii="Arial" w:eastAsia="Times New Roman" w:hAnsi="Arial" w:cs="Arial"/>
          <w:sz w:val="24"/>
          <w:szCs w:val="24"/>
          <w:lang w:val="es-ES" w:eastAsia="es-ES"/>
        </w:rPr>
        <w:t>organizada, y 2</w:t>
      </w:r>
      <w:r w:rsidRPr="00BB53C0">
        <w:rPr>
          <w:rFonts w:ascii="Arial" w:eastAsia="Times New Roman" w:hAnsi="Arial" w:cs="Arial"/>
          <w:sz w:val="24"/>
          <w:szCs w:val="24"/>
          <w:lang w:val="es-ES" w:eastAsia="es-ES"/>
        </w:rPr>
        <w:t xml:space="preserve">) Soborno transnacional y recuperación de activos. 3) Delitos ambientales. La misma fue remitida por correo electrónico en fecha 12 de agosto de 2020. </w:t>
      </w:r>
    </w:p>
    <w:p w14:paraId="430F79E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43C4DB20"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5) Remisión de oficio comunicando a los miembros de la Sub Comisión de Delincuencia Organizada, de los temas prioritarios para futuras fases de capacitación del Proyecto INL- Poder Judicial de Costa Rica, en fecha 25 de agosto </w:t>
      </w:r>
      <w:r w:rsidRPr="00BB53C0">
        <w:rPr>
          <w:rFonts w:ascii="Arial" w:eastAsia="Times New Roman" w:hAnsi="Arial" w:cs="Arial"/>
          <w:sz w:val="24"/>
          <w:szCs w:val="24"/>
          <w:lang w:val="es-ES" w:eastAsia="es-ES"/>
        </w:rPr>
        <w:lastRenderedPageBreak/>
        <w:t>de 2020. Se informó que dicha escogencia fue producto de la solicitud de remisión de prioridades a cada uno de los componentes de la Sub Comisión.</w:t>
      </w:r>
    </w:p>
    <w:p w14:paraId="721741A6" w14:textId="77777777" w:rsidR="003513FD" w:rsidRPr="00BB53C0" w:rsidRDefault="003513FD" w:rsidP="003513FD">
      <w:pPr>
        <w:spacing w:line="360" w:lineRule="auto"/>
        <w:ind w:left="1440"/>
        <w:contextualSpacing/>
        <w:jc w:val="both"/>
        <w:rPr>
          <w:rFonts w:ascii="Arial" w:eastAsia="Times New Roman" w:hAnsi="Arial" w:cs="Arial"/>
          <w:sz w:val="24"/>
          <w:szCs w:val="24"/>
          <w:lang w:val="es-ES"/>
        </w:rPr>
      </w:pPr>
    </w:p>
    <w:p w14:paraId="013E7425" w14:textId="77777777" w:rsidR="003513FD" w:rsidRPr="00BB53C0" w:rsidRDefault="003513FD" w:rsidP="00C10ACE">
      <w:pPr>
        <w:numPr>
          <w:ilvl w:val="1"/>
          <w:numId w:val="4"/>
        </w:numPr>
        <w:spacing w:after="0" w:line="360" w:lineRule="auto"/>
        <w:jc w:val="both"/>
        <w:rPr>
          <w:rFonts w:ascii="Arial" w:eastAsia="Times New Roman" w:hAnsi="Arial" w:cs="Arial"/>
          <w:b/>
          <w:bCs/>
          <w:sz w:val="24"/>
          <w:szCs w:val="24"/>
          <w:lang w:val="es-ES"/>
        </w:rPr>
      </w:pPr>
      <w:r w:rsidRPr="00BB53C0">
        <w:rPr>
          <w:rFonts w:ascii="Arial" w:eastAsiaTheme="minorHAnsi" w:hAnsi="Arial" w:cs="Arial"/>
          <w:b/>
          <w:bCs/>
          <w:sz w:val="24"/>
          <w:szCs w:val="24"/>
          <w:lang w:val="es-ES"/>
        </w:rPr>
        <w:t xml:space="preserve">Informes </w:t>
      </w:r>
    </w:p>
    <w:p w14:paraId="53FA6637" w14:textId="773C9131" w:rsidR="003513FD" w:rsidRPr="00BB53C0" w:rsidRDefault="003513FD" w:rsidP="00C10ACE">
      <w:pPr>
        <w:numPr>
          <w:ilvl w:val="0"/>
          <w:numId w:val="8"/>
        </w:numPr>
        <w:spacing w:after="0" w:line="360" w:lineRule="auto"/>
        <w:contextualSpacing/>
        <w:jc w:val="both"/>
        <w:rPr>
          <w:rFonts w:ascii="Arial" w:eastAsiaTheme="minorHAnsi" w:hAnsi="Arial" w:cs="Arial"/>
          <w:sz w:val="24"/>
          <w:szCs w:val="28"/>
          <w:lang w:val="es-ES"/>
        </w:rPr>
      </w:pPr>
      <w:r w:rsidRPr="00BB53C0">
        <w:rPr>
          <w:rFonts w:ascii="Arial" w:eastAsiaTheme="minorHAnsi" w:hAnsi="Arial" w:cs="Arial"/>
          <w:sz w:val="24"/>
          <w:szCs w:val="28"/>
          <w:lang w:val="es-ES"/>
        </w:rPr>
        <w:t xml:space="preserve">Informe de labores 2020 de la Sub Comisión de Delincuencia </w:t>
      </w:r>
      <w:r w:rsidR="005F7288" w:rsidRPr="00BB53C0">
        <w:rPr>
          <w:rFonts w:ascii="Arial" w:eastAsiaTheme="minorHAnsi" w:hAnsi="Arial" w:cs="Arial"/>
          <w:sz w:val="24"/>
          <w:szCs w:val="28"/>
          <w:lang w:val="es-ES"/>
        </w:rPr>
        <w:t>Organizada, elaborado</w:t>
      </w:r>
      <w:r w:rsidRPr="00BB53C0">
        <w:rPr>
          <w:rFonts w:ascii="Arial" w:eastAsiaTheme="minorHAnsi" w:hAnsi="Arial" w:cs="Arial"/>
          <w:sz w:val="24"/>
          <w:szCs w:val="28"/>
          <w:lang w:val="es-ES"/>
        </w:rPr>
        <w:t xml:space="preserve"> en fecha 27 de noviembre de 2020. </w:t>
      </w:r>
    </w:p>
    <w:p w14:paraId="48301D5B" w14:textId="77777777" w:rsidR="003513FD" w:rsidRPr="00BB53C0" w:rsidRDefault="003513FD" w:rsidP="003513FD">
      <w:pPr>
        <w:spacing w:after="0" w:line="360" w:lineRule="auto"/>
        <w:ind w:left="708" w:firstLine="708"/>
        <w:jc w:val="both"/>
        <w:rPr>
          <w:rFonts w:ascii="Arial" w:eastAsia="Times New Roman" w:hAnsi="Arial" w:cs="Arial"/>
          <w:sz w:val="24"/>
          <w:szCs w:val="24"/>
          <w:lang w:val="es-ES" w:eastAsia="es-ES"/>
        </w:rPr>
      </w:pPr>
    </w:p>
    <w:p w14:paraId="78E2F509" w14:textId="77777777" w:rsidR="003513FD" w:rsidRPr="00BB53C0" w:rsidRDefault="003513FD" w:rsidP="00C10ACE">
      <w:pPr>
        <w:numPr>
          <w:ilvl w:val="0"/>
          <w:numId w:val="2"/>
        </w:numPr>
        <w:spacing w:after="0" w:line="360" w:lineRule="auto"/>
        <w:contextualSpacing/>
        <w:jc w:val="both"/>
        <w:rPr>
          <w:rFonts w:ascii="Arial" w:eastAsiaTheme="minorHAnsi" w:hAnsi="Arial" w:cs="Arial"/>
          <w:sz w:val="24"/>
          <w:szCs w:val="28"/>
          <w:lang w:val="es-ES"/>
        </w:rPr>
      </w:pPr>
      <w:r w:rsidRPr="00BB53C0">
        <w:rPr>
          <w:rFonts w:ascii="Arial" w:eastAsiaTheme="minorHAnsi" w:hAnsi="Arial" w:cs="Arial"/>
          <w:sz w:val="24"/>
          <w:szCs w:val="28"/>
          <w:lang w:val="es-ES"/>
        </w:rPr>
        <w:t xml:space="preserve">Informe detallado de tareas relacionadas con la Sub Comisión de Delincuencia Organizada, con la finalidad de brindar insumos para la actividad de rendición de cuentas de la Sala, 18 de enero de 2021.  </w:t>
      </w:r>
    </w:p>
    <w:p w14:paraId="35DF5753" w14:textId="77777777" w:rsidR="003513FD" w:rsidRPr="00BB53C0" w:rsidRDefault="003513FD" w:rsidP="003513FD">
      <w:pPr>
        <w:spacing w:line="360" w:lineRule="auto"/>
        <w:ind w:left="720"/>
        <w:contextualSpacing/>
        <w:jc w:val="both"/>
        <w:rPr>
          <w:rFonts w:ascii="Arial" w:eastAsiaTheme="minorHAnsi" w:hAnsi="Arial" w:cs="Arial"/>
          <w:szCs w:val="24"/>
          <w:lang w:val="es-ES"/>
        </w:rPr>
      </w:pPr>
    </w:p>
    <w:p w14:paraId="5425EB22" w14:textId="77777777" w:rsidR="003513FD" w:rsidRPr="00BB53C0" w:rsidRDefault="003513FD" w:rsidP="003513FD">
      <w:pPr>
        <w:spacing w:after="0" w:line="360" w:lineRule="auto"/>
        <w:jc w:val="both"/>
        <w:rPr>
          <w:rFonts w:ascii="Arial" w:eastAsia="Times New Roman" w:hAnsi="Arial" w:cs="Arial"/>
          <w:b/>
          <w:bCs/>
          <w:sz w:val="24"/>
          <w:szCs w:val="24"/>
          <w:lang w:val="es-ES"/>
        </w:rPr>
      </w:pPr>
      <w:r w:rsidRPr="00BB53C0">
        <w:rPr>
          <w:rFonts w:ascii="Arial" w:eastAsia="Times New Roman" w:hAnsi="Arial" w:cs="Arial"/>
          <w:b/>
          <w:bCs/>
          <w:sz w:val="24"/>
          <w:szCs w:val="24"/>
          <w:lang w:val="es-ES"/>
        </w:rPr>
        <w:t>Otras actividades</w:t>
      </w:r>
    </w:p>
    <w:p w14:paraId="4DBA6B57" w14:textId="77777777" w:rsidR="003513FD" w:rsidRPr="00BB53C0" w:rsidRDefault="003513FD" w:rsidP="00C10ACE">
      <w:pPr>
        <w:numPr>
          <w:ilvl w:val="0"/>
          <w:numId w:val="6"/>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Colaboración para actualización de datos de nuevos participantes en la II fase del Curso sobre Ciberdelincuencia, y remisión de tablas actualizadas de listas a la Sra. Carmen Rodríguez y el sr. Daniel González, de FIU, octubre- noviembre 2020.</w:t>
      </w:r>
    </w:p>
    <w:p w14:paraId="03B4C958" w14:textId="77777777" w:rsidR="003513FD" w:rsidRPr="00BB53C0" w:rsidRDefault="003513FD" w:rsidP="00C10ACE">
      <w:pPr>
        <w:numPr>
          <w:ilvl w:val="0"/>
          <w:numId w:val="6"/>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Coordinación con la Sra. Flor Arroyo para realizar convocatoria y selección de participantes a cursos organizados por UNODOC e ICMEC, en temas de explotación infantil y marcadores genéticos, noviembre 2020</w:t>
      </w:r>
    </w:p>
    <w:p w14:paraId="499CD530" w14:textId="77777777" w:rsidR="003513FD" w:rsidRPr="00BB53C0" w:rsidRDefault="003513FD" w:rsidP="00C10ACE">
      <w:pPr>
        <w:numPr>
          <w:ilvl w:val="0"/>
          <w:numId w:val="6"/>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Participación en curso UNODOC sobre explotación sexual infantil, en modalidad virtual, 24 al 26 de noviembre de 2020, de las 9:00 a las 10:30 horas.</w:t>
      </w:r>
    </w:p>
    <w:p w14:paraId="20AB7053" w14:textId="77777777" w:rsidR="003513FD" w:rsidRPr="00BB53C0" w:rsidRDefault="003513FD" w:rsidP="00C10ACE">
      <w:pPr>
        <w:numPr>
          <w:ilvl w:val="0"/>
          <w:numId w:val="6"/>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Gestión ante Escuela Judicial, para concesión de permiso con goce de salario, al juez 5 Francisco Lemus Víquez, durante 2 semanas en el mes de diciembre, a efecto de que pueda completar los módulos de especialización en Delincuencia Organizada, iniciados por los jueces María Aurelia Rodríguez y Edwin Jiménez.</w:t>
      </w:r>
    </w:p>
    <w:p w14:paraId="6C00EA7B"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7A3051B6"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2ABBBC03" w14:textId="77777777" w:rsidR="003513FD" w:rsidRPr="00BB53C0" w:rsidRDefault="003513FD" w:rsidP="003513FD">
      <w:pPr>
        <w:spacing w:after="0" w:line="360" w:lineRule="auto"/>
        <w:jc w:val="both"/>
        <w:rPr>
          <w:rFonts w:ascii="Arial" w:eastAsia="Times New Roman" w:hAnsi="Arial" w:cs="Arial"/>
          <w:sz w:val="24"/>
          <w:szCs w:val="24"/>
          <w:lang w:val="es-ES"/>
        </w:rPr>
      </w:pPr>
    </w:p>
    <w:p w14:paraId="7F289388" w14:textId="77777777" w:rsidR="003513FD" w:rsidRPr="00BB53C0" w:rsidRDefault="003513FD" w:rsidP="003513FD">
      <w:pPr>
        <w:spacing w:after="0" w:line="360" w:lineRule="auto"/>
        <w:jc w:val="both"/>
        <w:rPr>
          <w:rFonts w:ascii="Arial" w:eastAsia="Times New Roman" w:hAnsi="Arial" w:cs="Arial"/>
          <w:sz w:val="24"/>
          <w:szCs w:val="24"/>
          <w:lang w:val="es-ES"/>
        </w:rPr>
      </w:pPr>
      <w:r w:rsidRPr="00BB53C0">
        <w:rPr>
          <w:rFonts w:ascii="Arial" w:eastAsia="Times New Roman" w:hAnsi="Arial" w:cs="Arial"/>
          <w:b/>
          <w:bCs/>
          <w:sz w:val="24"/>
          <w:szCs w:val="24"/>
          <w:lang w:val="es-ES"/>
        </w:rPr>
        <w:t>Resultados:</w:t>
      </w:r>
      <w:r w:rsidRPr="00BB53C0">
        <w:rPr>
          <w:rFonts w:ascii="Arial" w:eastAsia="Times New Roman" w:hAnsi="Arial" w:cs="Arial"/>
          <w:sz w:val="24"/>
          <w:szCs w:val="24"/>
          <w:lang w:val="es-ES"/>
        </w:rPr>
        <w:t xml:space="preserve">  </w:t>
      </w:r>
    </w:p>
    <w:p w14:paraId="52B0BD72" w14:textId="77777777" w:rsidR="003513FD" w:rsidRPr="00BB53C0" w:rsidRDefault="003513FD" w:rsidP="00C10ACE">
      <w:pPr>
        <w:numPr>
          <w:ilvl w:val="1"/>
          <w:numId w:val="4"/>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 xml:space="preserve">Aprobación por parte del Consejo Superior, de una modificación a la circular N° 73-2019, denominada “Mejoras en los Sistemas para la identificación de </w:t>
      </w:r>
      <w:r w:rsidRPr="00BB53C0">
        <w:rPr>
          <w:rFonts w:ascii="Arial" w:eastAsia="Times New Roman" w:hAnsi="Arial" w:cs="Arial"/>
          <w:sz w:val="24"/>
          <w:szCs w:val="24"/>
          <w:lang w:val="es-ES"/>
        </w:rPr>
        <w:lastRenderedPageBreak/>
        <w:t>casos de Crimen Organizado”, en sesión de Consejo Superior, N° 73-2020 celebrada el 21 de julio del 2020, artículo XL.</w:t>
      </w:r>
    </w:p>
    <w:p w14:paraId="61608DC3" w14:textId="77777777" w:rsidR="003513FD" w:rsidRPr="00BB53C0" w:rsidRDefault="003513FD" w:rsidP="00C10ACE">
      <w:pPr>
        <w:numPr>
          <w:ilvl w:val="1"/>
          <w:numId w:val="4"/>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Inauguración del primer curso en Ciberdelincuencia producto del proyecto INL-Poder Judicial, el cual se llevó a cabo entre el 29 de julio y el 24 de agosto de 2020</w:t>
      </w:r>
    </w:p>
    <w:p w14:paraId="502B5964" w14:textId="77777777" w:rsidR="003513FD" w:rsidRPr="00BB53C0" w:rsidRDefault="003513FD" w:rsidP="00C10ACE">
      <w:pPr>
        <w:numPr>
          <w:ilvl w:val="1"/>
          <w:numId w:val="4"/>
        </w:numPr>
        <w:spacing w:after="0" w:line="360" w:lineRule="auto"/>
        <w:jc w:val="both"/>
        <w:rPr>
          <w:rFonts w:ascii="Arial" w:eastAsia="Times New Roman" w:hAnsi="Arial" w:cs="Arial"/>
          <w:sz w:val="24"/>
          <w:szCs w:val="24"/>
          <w:lang w:val="es-ES"/>
        </w:rPr>
      </w:pPr>
      <w:r w:rsidRPr="00BB53C0">
        <w:rPr>
          <w:rFonts w:ascii="Arial" w:eastAsia="Times New Roman" w:hAnsi="Arial" w:cs="Arial"/>
          <w:sz w:val="24"/>
          <w:szCs w:val="24"/>
          <w:lang w:val="es-ES"/>
        </w:rPr>
        <w:t>Finalización de módulos de especialización en Delincuencia Organizada, dirigidos a jueces y personal auxiliar. Resta únicamente por conseguir recurso humano para impartición de lecciones.</w:t>
      </w:r>
    </w:p>
    <w:p w14:paraId="2A112C38" w14:textId="77777777" w:rsidR="003513FD" w:rsidRPr="00BB53C0" w:rsidRDefault="003513FD" w:rsidP="003513FD">
      <w:pPr>
        <w:spacing w:after="0" w:line="360" w:lineRule="auto"/>
        <w:ind w:left="1440"/>
        <w:jc w:val="both"/>
        <w:rPr>
          <w:rFonts w:ascii="Arial" w:eastAsia="Times New Roman" w:hAnsi="Arial" w:cs="Arial"/>
          <w:sz w:val="24"/>
          <w:szCs w:val="24"/>
          <w:lang w:val="es-ES"/>
        </w:rPr>
      </w:pPr>
    </w:p>
    <w:p w14:paraId="6FDA207B" w14:textId="77777777" w:rsidR="003513FD" w:rsidRPr="00BB53C0" w:rsidRDefault="003513FD" w:rsidP="00C10ACE">
      <w:pPr>
        <w:numPr>
          <w:ilvl w:val="0"/>
          <w:numId w:val="25"/>
        </w:numPr>
        <w:spacing w:after="0" w:line="360" w:lineRule="auto"/>
        <w:contextualSpacing/>
        <w:jc w:val="both"/>
        <w:rPr>
          <w:rFonts w:ascii="Arial" w:eastAsiaTheme="minorHAnsi" w:hAnsi="Arial" w:cs="Arial"/>
          <w:b/>
          <w:bCs/>
          <w:sz w:val="24"/>
          <w:szCs w:val="28"/>
          <w:u w:val="single"/>
          <w:lang w:val="es-ES"/>
        </w:rPr>
      </w:pPr>
      <w:r w:rsidRPr="00BB53C0">
        <w:rPr>
          <w:rFonts w:ascii="Arial" w:eastAsiaTheme="minorHAnsi" w:hAnsi="Arial" w:cs="Arial"/>
          <w:b/>
          <w:bCs/>
          <w:sz w:val="24"/>
          <w:szCs w:val="28"/>
          <w:u w:val="single"/>
          <w:lang w:val="es-ES"/>
        </w:rPr>
        <w:t>Comisión Reglamento de comisiones</w:t>
      </w:r>
    </w:p>
    <w:p w14:paraId="1E1CFB1B" w14:textId="77777777" w:rsidR="003513FD" w:rsidRPr="00BB53C0" w:rsidRDefault="003513FD" w:rsidP="003513FD">
      <w:pPr>
        <w:spacing w:line="360" w:lineRule="auto"/>
        <w:ind w:left="1068"/>
        <w:contextualSpacing/>
        <w:jc w:val="both"/>
        <w:rPr>
          <w:rFonts w:ascii="Arial" w:eastAsiaTheme="minorHAnsi" w:hAnsi="Arial" w:cs="Arial"/>
          <w:b/>
          <w:bCs/>
          <w:sz w:val="24"/>
          <w:szCs w:val="28"/>
          <w:u w:val="single"/>
          <w:lang w:val="es-ES"/>
        </w:rPr>
      </w:pPr>
    </w:p>
    <w:p w14:paraId="58DA0E5A" w14:textId="77777777" w:rsidR="003513FD" w:rsidRPr="00BB53C0" w:rsidRDefault="003513FD" w:rsidP="00C10ACE">
      <w:pPr>
        <w:numPr>
          <w:ilvl w:val="1"/>
          <w:numId w:val="25"/>
        </w:numPr>
        <w:spacing w:after="0" w:line="360" w:lineRule="auto"/>
        <w:contextualSpacing/>
        <w:jc w:val="both"/>
        <w:rPr>
          <w:rFonts w:ascii="Arial" w:eastAsiaTheme="minorHAnsi" w:hAnsi="Arial" w:cs="Arial"/>
          <w:b/>
          <w:bCs/>
          <w:sz w:val="24"/>
          <w:szCs w:val="24"/>
          <w:lang w:val="es-ES"/>
        </w:rPr>
      </w:pPr>
      <w:r w:rsidRPr="00BB53C0">
        <w:rPr>
          <w:rFonts w:ascii="Arial" w:eastAsiaTheme="minorHAnsi" w:hAnsi="Arial" w:cs="Arial"/>
          <w:b/>
          <w:bCs/>
          <w:sz w:val="24"/>
          <w:szCs w:val="24"/>
          <w:lang w:val="es-ES"/>
        </w:rPr>
        <w:t>Convocatorias a reunión y participación</w:t>
      </w:r>
    </w:p>
    <w:p w14:paraId="406580D7" w14:textId="77777777" w:rsidR="003513FD" w:rsidRPr="00BB53C0" w:rsidRDefault="003513FD" w:rsidP="003513FD">
      <w:pPr>
        <w:spacing w:after="0" w:line="360" w:lineRule="auto"/>
        <w:ind w:left="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 </w:t>
      </w:r>
      <w:r w:rsidRPr="00BB53C0">
        <w:rPr>
          <w:rFonts w:ascii="Arial" w:eastAsia="Times New Roman" w:hAnsi="Arial" w:cs="Arial"/>
          <w:sz w:val="24"/>
          <w:szCs w:val="24"/>
          <w:lang w:val="es-ES" w:eastAsia="es-ES"/>
        </w:rPr>
        <w:t>Jueves 19 de noviembre de 2020, a las 17:00 horas.</w:t>
      </w:r>
    </w:p>
    <w:p w14:paraId="110C9266"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2A5901D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Eugenia Zuñiga Morales </w:t>
      </w:r>
    </w:p>
    <w:p w14:paraId="33A7493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Gerardo Rubén Alfaro Vargas</w:t>
      </w:r>
    </w:p>
    <w:p w14:paraId="33B1068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Damaris Vargas Vásquez</w:t>
      </w:r>
    </w:p>
    <w:p w14:paraId="2954DF7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Guillermo Rivas Loáiciga</w:t>
      </w:r>
    </w:p>
    <w:p w14:paraId="380E5B7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Porfirio Sánchez Rodríguez</w:t>
      </w:r>
    </w:p>
    <w:p w14:paraId="19D869C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Fdo. Salazar Alvarado</w:t>
      </w:r>
    </w:p>
    <w:p w14:paraId="1E5FE1C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Carlos Montero Zuñiga</w:t>
      </w:r>
    </w:p>
    <w:p w14:paraId="5F66206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Rodrigo Alberto Campos Hidalgo</w:t>
      </w:r>
    </w:p>
    <w:p w14:paraId="6BF612B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Nacira Valverde Bermúdez</w:t>
      </w:r>
    </w:p>
    <w:p w14:paraId="5A37F32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Roger Mata Brenes</w:t>
      </w:r>
    </w:p>
    <w:p w14:paraId="2F77294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Ana María Rojas Giusti</w:t>
      </w:r>
    </w:p>
    <w:p w14:paraId="097879E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Elaboración propuesta de la Reforma Integral al Reglamento General de Comisiones del Poder Judicial.</w:t>
      </w:r>
    </w:p>
    <w:p w14:paraId="6DE8F08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1C603693" w14:textId="77777777" w:rsidR="003513FD" w:rsidRPr="00BB53C0" w:rsidRDefault="003513FD" w:rsidP="003513FD">
      <w:pPr>
        <w:spacing w:after="0" w:line="360" w:lineRule="auto"/>
        <w:ind w:left="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2. </w:t>
      </w:r>
      <w:r w:rsidRPr="00BB53C0">
        <w:rPr>
          <w:rFonts w:ascii="Arial" w:eastAsia="Times New Roman" w:hAnsi="Arial" w:cs="Arial"/>
          <w:sz w:val="24"/>
          <w:szCs w:val="24"/>
          <w:lang w:val="es-ES" w:eastAsia="es-ES"/>
        </w:rPr>
        <w:t>Miércoles 25 de noviembre de 2020, a las 17:00 horas.</w:t>
      </w:r>
    </w:p>
    <w:p w14:paraId="321A5C7A"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385A7B3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Eugenia Zuñiga Morales </w:t>
      </w:r>
    </w:p>
    <w:p w14:paraId="02354D4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Magistrado Gerardo Rubén Alfaro Vargas</w:t>
      </w:r>
    </w:p>
    <w:p w14:paraId="51E2C9B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Damaris Vargas Vásquez</w:t>
      </w:r>
    </w:p>
    <w:p w14:paraId="0461C71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Guillermo Rivas Loáiciga</w:t>
      </w:r>
    </w:p>
    <w:p w14:paraId="36201BD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Porfirio Sánchez Rodríguez</w:t>
      </w:r>
    </w:p>
    <w:p w14:paraId="08D805E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Fdo. Salazar Alvarado</w:t>
      </w:r>
    </w:p>
    <w:p w14:paraId="62684F9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Carlos Montero Zuñiga</w:t>
      </w:r>
    </w:p>
    <w:p w14:paraId="56C2C67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Rodrigo Alberto Campos Hidalgo</w:t>
      </w:r>
    </w:p>
    <w:p w14:paraId="0944EFA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Nacira Valverde Bermúdez</w:t>
      </w:r>
    </w:p>
    <w:p w14:paraId="34AA3EB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Roger Mata Brenes</w:t>
      </w:r>
    </w:p>
    <w:p w14:paraId="0233FD8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Ana María Rojas Giusti</w:t>
      </w:r>
    </w:p>
    <w:p w14:paraId="1F919C67"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Elaboración propuesta de la Reforma Integral al Reglamento General de Comisiones del Poder Judicial.</w:t>
      </w:r>
    </w:p>
    <w:p w14:paraId="3029E108"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51AAB092" w14:textId="77777777" w:rsidR="003513FD" w:rsidRPr="00BB53C0" w:rsidRDefault="003513FD" w:rsidP="003513FD">
      <w:pPr>
        <w:spacing w:after="0" w:line="360" w:lineRule="auto"/>
        <w:ind w:left="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3. </w:t>
      </w:r>
      <w:r w:rsidRPr="00BB53C0">
        <w:rPr>
          <w:rFonts w:ascii="Arial" w:eastAsia="Times New Roman" w:hAnsi="Arial" w:cs="Arial"/>
          <w:sz w:val="24"/>
          <w:szCs w:val="24"/>
          <w:lang w:val="es-ES" w:eastAsia="es-ES"/>
        </w:rPr>
        <w:t>Miércoles 02 de diciembre de 2020, a las 17:00 horas.</w:t>
      </w:r>
    </w:p>
    <w:p w14:paraId="1C44A184"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0FF4FB9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Eugenia Zuñiga Morales </w:t>
      </w:r>
    </w:p>
    <w:p w14:paraId="4464203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Gerardo Rubén Alfaro Vargas</w:t>
      </w:r>
    </w:p>
    <w:p w14:paraId="503430A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Damaris Vargas Vásquez</w:t>
      </w:r>
    </w:p>
    <w:p w14:paraId="7D3B2E4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Guillermo Rivas Loáiciga</w:t>
      </w:r>
    </w:p>
    <w:p w14:paraId="626AB80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Porfirio Sánchez Rodríguez</w:t>
      </w:r>
    </w:p>
    <w:p w14:paraId="3321B4F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Fdo. Salazar Alvarado</w:t>
      </w:r>
    </w:p>
    <w:p w14:paraId="2F29115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Carlos Montero Zuñiga</w:t>
      </w:r>
    </w:p>
    <w:p w14:paraId="558B491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Rodrigo Alberto Campos Hidalgo</w:t>
      </w:r>
    </w:p>
    <w:p w14:paraId="5B7FD55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Nacira Valverde Bermúdez</w:t>
      </w:r>
    </w:p>
    <w:p w14:paraId="522755B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Roger Mata Brenes</w:t>
      </w:r>
    </w:p>
    <w:p w14:paraId="4A10771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Ana María Rojas Giusti</w:t>
      </w:r>
    </w:p>
    <w:p w14:paraId="74B69CBA"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Elaboración propuesta de la Reforma Integral al Reglamento General de Comisiones del Poder Judicial.</w:t>
      </w:r>
    </w:p>
    <w:p w14:paraId="1CA77BD1"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6045B84C" w14:textId="77777777" w:rsidR="003513FD" w:rsidRPr="00BB53C0" w:rsidRDefault="003513FD" w:rsidP="003513FD">
      <w:pPr>
        <w:spacing w:after="0" w:line="360" w:lineRule="auto"/>
        <w:ind w:left="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4. </w:t>
      </w:r>
      <w:r w:rsidRPr="00BB53C0">
        <w:rPr>
          <w:rFonts w:ascii="Arial" w:eastAsia="Times New Roman" w:hAnsi="Arial" w:cs="Arial"/>
          <w:sz w:val="24"/>
          <w:szCs w:val="24"/>
          <w:lang w:val="es-ES" w:eastAsia="es-ES"/>
        </w:rPr>
        <w:t>Miércoles 09 de diciembre de 2020, a las 17:00 horas.</w:t>
      </w:r>
    </w:p>
    <w:p w14:paraId="6DBC1E5D"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64E5BF0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 xml:space="preserve">Magistrada Sandra Eugenia Zuñiga Morales </w:t>
      </w:r>
    </w:p>
    <w:p w14:paraId="5CDF843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Gerardo Rubén Alfaro Vargas</w:t>
      </w:r>
    </w:p>
    <w:p w14:paraId="05E0A6D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Damaris Vargas Vásquez</w:t>
      </w:r>
    </w:p>
    <w:p w14:paraId="166D9D6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Guillermo Rivas Loáiciga</w:t>
      </w:r>
    </w:p>
    <w:p w14:paraId="063BAE8B"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Porfirio Sánchez Rodríguez</w:t>
      </w:r>
    </w:p>
    <w:p w14:paraId="3AA3BA3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Fdo. Salazar Alvarado</w:t>
      </w:r>
    </w:p>
    <w:p w14:paraId="362C119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Carlos Montero Zuñiga</w:t>
      </w:r>
    </w:p>
    <w:p w14:paraId="53ABDBD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Rodrigo Alberto Campos Hidalgo</w:t>
      </w:r>
    </w:p>
    <w:p w14:paraId="031DCF5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Nacira Valverde Bermúdez</w:t>
      </w:r>
    </w:p>
    <w:p w14:paraId="29A7858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Roger Mata Brenes</w:t>
      </w:r>
    </w:p>
    <w:p w14:paraId="1ABA9F3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Ana María Rojas Giusti</w:t>
      </w:r>
    </w:p>
    <w:p w14:paraId="047A74D9"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Elaboración propuesta de la Reforma Integral al Reglamento General de Comisiones del Poder Judicial.</w:t>
      </w:r>
    </w:p>
    <w:p w14:paraId="68E14BF9"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262C7091" w14:textId="77777777" w:rsidR="003513FD" w:rsidRPr="00BB53C0" w:rsidRDefault="003513FD" w:rsidP="003513FD">
      <w:pPr>
        <w:spacing w:after="0" w:line="360" w:lineRule="auto"/>
        <w:ind w:left="708"/>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4. </w:t>
      </w:r>
      <w:r w:rsidRPr="00BB53C0">
        <w:rPr>
          <w:rFonts w:ascii="Arial" w:eastAsia="Times New Roman" w:hAnsi="Arial" w:cs="Arial"/>
          <w:sz w:val="24"/>
          <w:szCs w:val="24"/>
          <w:lang w:val="es-ES" w:eastAsia="es-ES"/>
        </w:rPr>
        <w:t>Miércoles 16 de diciembre de 2020, a las 17:00 horas.</w:t>
      </w:r>
    </w:p>
    <w:p w14:paraId="11E72DBD"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6CD274F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Eugenia Zuñiga Morales </w:t>
      </w:r>
    </w:p>
    <w:p w14:paraId="60DD0DC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Gerardo Rubén Alfaro Vargas</w:t>
      </w:r>
    </w:p>
    <w:p w14:paraId="1B65749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Magistrada Damaris Vargas Vásquez</w:t>
      </w:r>
    </w:p>
    <w:p w14:paraId="1E377A2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Guillermo Rivas Loáiciga</w:t>
      </w:r>
    </w:p>
    <w:p w14:paraId="5156498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Porfirio Sánchez Rodríguez</w:t>
      </w:r>
    </w:p>
    <w:p w14:paraId="76501A6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Fdo. Salazar Alvarado</w:t>
      </w:r>
    </w:p>
    <w:p w14:paraId="7A1106F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Carlos Montero Zuñiga</w:t>
      </w:r>
    </w:p>
    <w:p w14:paraId="7A459BE1"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Rodrigo Alberto Campos Hidalgo</w:t>
      </w:r>
    </w:p>
    <w:p w14:paraId="5B79F8B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Nacira Valverde Bermúdez</w:t>
      </w:r>
    </w:p>
    <w:p w14:paraId="7146F5D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Roger Mata Brenes</w:t>
      </w:r>
    </w:p>
    <w:p w14:paraId="4A5335B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Ana María Rojas Giusti</w:t>
      </w:r>
    </w:p>
    <w:p w14:paraId="754189AB"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Elaboración propuesta de la Reforma Integral al Reglamento General de Comisiones del Poder Judicial.</w:t>
      </w:r>
    </w:p>
    <w:p w14:paraId="6E4B688B" w14:textId="54ADF9F8" w:rsidR="003513FD" w:rsidRDefault="003513FD" w:rsidP="003513FD">
      <w:pPr>
        <w:spacing w:after="0" w:line="360" w:lineRule="auto"/>
        <w:ind w:firstLine="708"/>
        <w:jc w:val="both"/>
        <w:rPr>
          <w:rFonts w:ascii="Arial" w:eastAsia="Times New Roman" w:hAnsi="Arial" w:cs="Arial"/>
          <w:sz w:val="24"/>
          <w:szCs w:val="24"/>
          <w:lang w:val="es-ES" w:eastAsia="es-ES"/>
        </w:rPr>
      </w:pPr>
    </w:p>
    <w:p w14:paraId="315B703E" w14:textId="77777777" w:rsidR="00D77A62" w:rsidRPr="00BB53C0" w:rsidRDefault="00D77A62" w:rsidP="003513FD">
      <w:pPr>
        <w:spacing w:after="0" w:line="360" w:lineRule="auto"/>
        <w:ind w:firstLine="708"/>
        <w:jc w:val="both"/>
        <w:rPr>
          <w:rFonts w:ascii="Arial" w:eastAsia="Times New Roman" w:hAnsi="Arial" w:cs="Arial"/>
          <w:sz w:val="24"/>
          <w:szCs w:val="24"/>
          <w:lang w:val="es-ES" w:eastAsia="es-ES"/>
        </w:rPr>
      </w:pPr>
    </w:p>
    <w:p w14:paraId="5DF68D69" w14:textId="77777777" w:rsidR="003513FD" w:rsidRPr="00BB53C0" w:rsidRDefault="003513FD" w:rsidP="00C10ACE">
      <w:pPr>
        <w:numPr>
          <w:ilvl w:val="0"/>
          <w:numId w:val="25"/>
        </w:numPr>
        <w:spacing w:after="0" w:line="360" w:lineRule="auto"/>
        <w:contextualSpacing/>
        <w:jc w:val="both"/>
        <w:rPr>
          <w:rFonts w:ascii="Arial" w:eastAsiaTheme="minorHAnsi" w:hAnsi="Arial" w:cs="Arial"/>
          <w:b/>
          <w:bCs/>
          <w:sz w:val="24"/>
          <w:szCs w:val="28"/>
          <w:u w:val="single"/>
          <w:lang w:val="es-ES"/>
        </w:rPr>
      </w:pPr>
      <w:r w:rsidRPr="00BB53C0">
        <w:rPr>
          <w:rFonts w:ascii="Arial" w:eastAsiaTheme="minorHAnsi" w:hAnsi="Arial" w:cs="Arial"/>
          <w:b/>
          <w:bCs/>
          <w:sz w:val="24"/>
          <w:szCs w:val="28"/>
          <w:u w:val="single"/>
          <w:lang w:val="es-ES"/>
        </w:rPr>
        <w:lastRenderedPageBreak/>
        <w:t>Comisión Gerencial de Tecnología de la Información</w:t>
      </w:r>
    </w:p>
    <w:p w14:paraId="2F69A3A0" w14:textId="77777777" w:rsidR="003513FD" w:rsidRPr="00BB53C0" w:rsidRDefault="003513FD" w:rsidP="003513FD">
      <w:pPr>
        <w:spacing w:after="0" w:line="360" w:lineRule="auto"/>
        <w:ind w:left="705"/>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a. Convocatorias y participación en reuniones</w:t>
      </w:r>
    </w:p>
    <w:p w14:paraId="02B6F2C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3F8C012D" w14:textId="77777777" w:rsidR="003513FD" w:rsidRPr="00BB53C0" w:rsidRDefault="003513FD" w:rsidP="003513FD">
      <w:pPr>
        <w:spacing w:after="0" w:line="360" w:lineRule="auto"/>
        <w:ind w:firstLine="705"/>
        <w:jc w:val="both"/>
        <w:rPr>
          <w:rFonts w:ascii="Arial" w:eastAsia="Times New Roman" w:hAnsi="Arial" w:cs="Arial"/>
          <w:sz w:val="24"/>
          <w:szCs w:val="24"/>
          <w:lang w:val="es-ES" w:eastAsia="es-ES"/>
        </w:rPr>
      </w:pPr>
      <w:r w:rsidRPr="00BB53C0">
        <w:rPr>
          <w:rFonts w:ascii="Arial" w:eastAsia="Times New Roman" w:hAnsi="Arial" w:cs="Arial"/>
          <w:b/>
          <w:bCs/>
          <w:sz w:val="24"/>
          <w:szCs w:val="24"/>
          <w:lang w:val="es-ES" w:eastAsia="es-ES"/>
        </w:rPr>
        <w:t xml:space="preserve">Reunión N° 1. </w:t>
      </w:r>
      <w:r w:rsidRPr="00BB53C0">
        <w:rPr>
          <w:rFonts w:ascii="Arial" w:eastAsia="Times New Roman" w:hAnsi="Arial" w:cs="Arial"/>
          <w:sz w:val="24"/>
          <w:szCs w:val="24"/>
          <w:lang w:val="es-ES" w:eastAsia="es-ES"/>
        </w:rPr>
        <w:t>Miércoles 09 de diciembre.</w:t>
      </w:r>
    </w:p>
    <w:p w14:paraId="7915E91F" w14:textId="77777777" w:rsidR="003513FD" w:rsidRPr="00BB53C0" w:rsidRDefault="003513FD" w:rsidP="003513FD">
      <w:pPr>
        <w:spacing w:after="0" w:line="360" w:lineRule="auto"/>
        <w:jc w:val="both"/>
        <w:rPr>
          <w:rFonts w:ascii="Arial" w:eastAsia="Times New Roman" w:hAnsi="Arial" w:cs="Arial"/>
          <w:sz w:val="24"/>
          <w:szCs w:val="24"/>
          <w:u w:val="single"/>
          <w:lang w:val="es-ES" w:eastAsia="es-ES"/>
        </w:rPr>
      </w:pPr>
      <w:r w:rsidRPr="00BB53C0">
        <w:rPr>
          <w:rFonts w:ascii="Arial" w:eastAsia="Times New Roman" w:hAnsi="Arial" w:cs="Arial"/>
          <w:sz w:val="24"/>
          <w:szCs w:val="24"/>
          <w:u w:val="single"/>
          <w:lang w:val="es-ES" w:eastAsia="es-ES"/>
        </w:rPr>
        <w:t>Asistentes:</w:t>
      </w:r>
    </w:p>
    <w:p w14:paraId="589D4FEF"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Magistrada Sandra Zúñiga Morales </w:t>
      </w:r>
    </w:p>
    <w:p w14:paraId="26105F7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Luis Guillermo Rivas Loáiciga</w:t>
      </w:r>
    </w:p>
    <w:p w14:paraId="5D2B1153"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Magistrado Jorge Olaso Alvarez</w:t>
      </w:r>
    </w:p>
    <w:p w14:paraId="584486B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Sra. Kattia Morales Navarro</w:t>
      </w:r>
    </w:p>
    <w:p w14:paraId="57F164C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Michael Jiménez Ureña</w:t>
      </w:r>
    </w:p>
    <w:p w14:paraId="62B45D5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Orlando Castrillo Vargas</w:t>
      </w:r>
    </w:p>
    <w:p w14:paraId="3C6DC92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Martin Hernandez Serrano</w:t>
      </w:r>
    </w:p>
    <w:p w14:paraId="5ACA518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Haideer Miranda Bonilla</w:t>
      </w:r>
    </w:p>
    <w:p w14:paraId="1EA7888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Ana Eugenia Romero Jenkins</w:t>
      </w:r>
    </w:p>
    <w:p w14:paraId="1C2CA77D"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Sr. Silvia Navarro Romanini</w:t>
      </w:r>
    </w:p>
    <w:p w14:paraId="78222C17"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Carlos Montero Zuñiga</w:t>
      </w:r>
    </w:p>
    <w:p w14:paraId="52026BB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Erick Mora Leiva</w:t>
      </w:r>
    </w:p>
    <w:p w14:paraId="41EAFA9C"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6E9D162D"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Además, se realizaron un total de 45 entrevistas a los y las participantes como magistrados suplentes de la Sala de Casación Penal, las cuales se detallan a continuación:</w:t>
      </w:r>
    </w:p>
    <w:p w14:paraId="1B689E95"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p>
    <w:p w14:paraId="179872B4"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Grupo 1</w:t>
      </w:r>
    </w:p>
    <w:p w14:paraId="4E751C30"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Miércoles 14 de octubre de 2020</w:t>
      </w:r>
    </w:p>
    <w:p w14:paraId="7DC72B22" w14:textId="77777777" w:rsidR="003513FD" w:rsidRPr="00BB53C0" w:rsidRDefault="003513FD" w:rsidP="003513FD">
      <w:pPr>
        <w:spacing w:after="0" w:line="360" w:lineRule="auto"/>
        <w:jc w:val="both"/>
        <w:rPr>
          <w:rFonts w:ascii="Arial" w:hAnsi="Arial" w:cs="Arial"/>
          <w:sz w:val="24"/>
          <w:szCs w:val="24"/>
          <w:lang w:val="es-ES" w:eastAsia="es-CR"/>
        </w:rPr>
      </w:pPr>
      <w:r w:rsidRPr="00BB53C0">
        <w:rPr>
          <w:rFonts w:ascii="Arial" w:hAnsi="Arial" w:cs="Arial"/>
          <w:sz w:val="24"/>
          <w:szCs w:val="24"/>
          <w:lang w:val="es-ES" w:eastAsia="es-CR"/>
        </w:rPr>
        <w:t>Acon NG Rosa María</w:t>
      </w:r>
    </w:p>
    <w:p w14:paraId="5CCEC56A"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González González Rafael Mayed</w:t>
      </w:r>
    </w:p>
    <w:p w14:paraId="03785C5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Camacho Morales Jorge Arturo</w:t>
      </w:r>
    </w:p>
    <w:p w14:paraId="3B7B072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Campos Anchía Roque Rafael</w:t>
      </w:r>
    </w:p>
    <w:p w14:paraId="79CDB6E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Charpentier Celano Monique</w:t>
      </w:r>
    </w:p>
    <w:p w14:paraId="63EDEEE4" w14:textId="215DFE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Cortés Coto Ronald </w:t>
      </w:r>
      <w:r w:rsidR="00210D92" w:rsidRPr="00BB53C0">
        <w:rPr>
          <w:rFonts w:ascii="Arial" w:eastAsia="Times New Roman" w:hAnsi="Arial" w:cs="Arial"/>
          <w:sz w:val="24"/>
          <w:szCs w:val="24"/>
          <w:lang w:val="es-ES" w:eastAsia="es-ES"/>
        </w:rPr>
        <w:t>Hernán</w:t>
      </w:r>
    </w:p>
    <w:p w14:paraId="39F28528"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Dumani Stradtmann Cynthia</w:t>
      </w:r>
    </w:p>
    <w:p w14:paraId="27EB31B0"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lastRenderedPageBreak/>
        <w:t xml:space="preserve">García Chaves Alberto Jose </w:t>
      </w:r>
    </w:p>
    <w:p w14:paraId="04DE04D5"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Fallas Redondo David Alberto</w:t>
      </w:r>
    </w:p>
    <w:p w14:paraId="546C1554"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Herrera López Aisen Francisco</w:t>
      </w:r>
    </w:p>
    <w:p w14:paraId="517B08F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Fonseca Jiménez Yadira</w:t>
      </w:r>
    </w:p>
    <w:p w14:paraId="7813B036"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López Madrigal Rosibel</w:t>
      </w:r>
    </w:p>
    <w:p w14:paraId="265C0892"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Mena Ayales Francisco José</w:t>
      </w:r>
    </w:p>
    <w:p w14:paraId="33C193BE"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Morales Jiménez Juan Carlos</w:t>
      </w:r>
    </w:p>
    <w:p w14:paraId="244DBD89" w14:textId="77777777" w:rsidR="003513FD" w:rsidRPr="00BB53C0" w:rsidRDefault="003513FD" w:rsidP="003513FD">
      <w:pPr>
        <w:spacing w:after="0" w:line="360" w:lineRule="auto"/>
        <w:jc w:val="both"/>
        <w:rPr>
          <w:rFonts w:ascii="Arial" w:eastAsia="Times New Roman" w:hAnsi="Arial" w:cs="Arial"/>
          <w:sz w:val="24"/>
          <w:szCs w:val="24"/>
          <w:lang w:val="es-ES" w:eastAsia="es-ES"/>
        </w:rPr>
      </w:pPr>
    </w:p>
    <w:p w14:paraId="556CFE9E"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Grupo 2</w:t>
      </w:r>
    </w:p>
    <w:p w14:paraId="5170E909"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Martes 20 de octubre de 2020</w:t>
      </w:r>
    </w:p>
    <w:p w14:paraId="73A8DED9"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Fernández Calvo Miguel Ernesto</w:t>
      </w:r>
    </w:p>
    <w:p w14:paraId="307A3035"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Arce Acuña Angie Andrea</w:t>
      </w:r>
    </w:p>
    <w:p w14:paraId="5A982104"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Fallas Calderón Manuel Gerardo</w:t>
      </w:r>
    </w:p>
    <w:p w14:paraId="19378666"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Garay Boza Norberto Enrique</w:t>
      </w:r>
    </w:p>
    <w:p w14:paraId="022BB8C5"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Hernández Martínez Giovanni</w:t>
      </w:r>
    </w:p>
    <w:p w14:paraId="625C1C81"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Sánchez Delgado José Daniel</w:t>
      </w:r>
    </w:p>
    <w:p w14:paraId="02BE70E3"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Montero Mena Gemma Elizabeth</w:t>
      </w:r>
    </w:p>
    <w:p w14:paraId="5EFD6DC9"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 xml:space="preserve">Nicolás Alvarado Ronald Gerardo </w:t>
      </w:r>
    </w:p>
    <w:p w14:paraId="3B699023"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Olsen Villegas Andrés De La Trinidad</w:t>
      </w:r>
    </w:p>
    <w:p w14:paraId="5BCB7092" w14:textId="7BFBFF05"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 xml:space="preserve">Ortega Jiménez </w:t>
      </w:r>
      <w:r w:rsidR="005F7288" w:rsidRPr="00BB53C0">
        <w:rPr>
          <w:rFonts w:ascii="Arial" w:eastAsia="Times New Roman" w:hAnsi="Arial" w:cs="Arial"/>
          <w:sz w:val="24"/>
          <w:szCs w:val="28"/>
          <w:lang w:val="es-ES" w:eastAsia="es-ES"/>
        </w:rPr>
        <w:t>Víctor</w:t>
      </w:r>
      <w:r w:rsidRPr="00BB53C0">
        <w:rPr>
          <w:rFonts w:ascii="Arial" w:eastAsia="Times New Roman" w:hAnsi="Arial" w:cs="Arial"/>
          <w:sz w:val="24"/>
          <w:szCs w:val="28"/>
          <w:lang w:val="es-ES" w:eastAsia="es-ES"/>
        </w:rPr>
        <w:t xml:space="preserve"> Manuel</w:t>
      </w:r>
    </w:p>
    <w:p w14:paraId="26AA736C"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Poblador Ramírez Tomás Esteban</w:t>
      </w:r>
    </w:p>
    <w:p w14:paraId="741ABCAA"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p>
    <w:p w14:paraId="40C4BC12"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Grupo 3</w:t>
      </w:r>
    </w:p>
    <w:p w14:paraId="566FD12F"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r w:rsidRPr="00BB53C0">
        <w:rPr>
          <w:rFonts w:ascii="Arial" w:eastAsia="Times New Roman" w:hAnsi="Arial" w:cs="Arial"/>
          <w:b/>
          <w:bCs/>
          <w:sz w:val="24"/>
          <w:szCs w:val="28"/>
          <w:lang w:val="es-ES" w:eastAsia="es-ES"/>
        </w:rPr>
        <w:t>Miércoles 21 de octubre de 2020</w:t>
      </w:r>
    </w:p>
    <w:p w14:paraId="1AB8DF54"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p>
    <w:p w14:paraId="415C5888"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Porras Cascante Miguel Alejandro</w:t>
      </w:r>
    </w:p>
    <w:p w14:paraId="0EBD2A08"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Porter Aguilar Hugo</w:t>
      </w:r>
    </w:p>
    <w:p w14:paraId="0A023978"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Portuguez Pizarro Yendry Patricia</w:t>
      </w:r>
    </w:p>
    <w:p w14:paraId="12636BCA" w14:textId="542D39F9"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 xml:space="preserve">Quirós Pereira José </w:t>
      </w:r>
      <w:r w:rsidR="00210D92" w:rsidRPr="00BB53C0">
        <w:rPr>
          <w:rFonts w:ascii="Arial" w:eastAsia="Times New Roman" w:hAnsi="Arial" w:cs="Arial"/>
          <w:sz w:val="24"/>
          <w:szCs w:val="28"/>
          <w:lang w:val="es-ES" w:eastAsia="es-ES"/>
        </w:rPr>
        <w:t>Asdrúbal</w:t>
      </w:r>
    </w:p>
    <w:p w14:paraId="0B2AEAE5"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Ramírez Alfaro Eliecer Orlando</w:t>
      </w:r>
    </w:p>
    <w:p w14:paraId="088203C0"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Redondo Gutiérrez Carlos Luis</w:t>
      </w:r>
    </w:p>
    <w:p w14:paraId="7ED684D5"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lastRenderedPageBreak/>
        <w:t>Rodríguez Morales María Gabriela</w:t>
      </w:r>
    </w:p>
    <w:p w14:paraId="06B2E667"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Román Matamoros José Antonio</w:t>
      </w:r>
    </w:p>
    <w:p w14:paraId="183DBD2F"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Salas Mora Blanca Iris</w:t>
      </w:r>
    </w:p>
    <w:p w14:paraId="138F7DA8"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Salinas Durán Edwin</w:t>
      </w:r>
    </w:p>
    <w:p w14:paraId="02D457BF"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Jirón Calvo Jose Abraham</w:t>
      </w:r>
    </w:p>
    <w:p w14:paraId="2736F954"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Segura Bonilla Rafael</w:t>
      </w:r>
    </w:p>
    <w:p w14:paraId="0307D52D"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Serrano Baby William</w:t>
      </w:r>
    </w:p>
    <w:p w14:paraId="5E89D8AB"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Solís Zamora Ana Isabel</w:t>
      </w:r>
    </w:p>
    <w:p w14:paraId="6949F03D"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Ulate Calderón Olman Alberto</w:t>
      </w:r>
    </w:p>
    <w:p w14:paraId="54923604"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 xml:space="preserve">Vargas González Patricia </w:t>
      </w:r>
    </w:p>
    <w:p w14:paraId="082F19D6"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Viales Rosales Olga María</w:t>
      </w:r>
    </w:p>
    <w:p w14:paraId="11FEED2E"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Víquez Carrillo Andrea</w:t>
      </w:r>
    </w:p>
    <w:p w14:paraId="7BDDA74B"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White Ward Omar Antonio</w:t>
      </w:r>
    </w:p>
    <w:p w14:paraId="0167E12F" w14:textId="77777777" w:rsidR="003513FD" w:rsidRPr="00BB53C0" w:rsidRDefault="003513FD" w:rsidP="003513FD">
      <w:pPr>
        <w:spacing w:after="0" w:line="360" w:lineRule="auto"/>
        <w:jc w:val="both"/>
        <w:rPr>
          <w:rFonts w:ascii="Arial" w:eastAsia="Times New Roman" w:hAnsi="Arial" w:cs="Arial"/>
          <w:sz w:val="24"/>
          <w:szCs w:val="28"/>
          <w:lang w:val="es-ES" w:eastAsia="es-ES"/>
        </w:rPr>
      </w:pPr>
      <w:r w:rsidRPr="00BB53C0">
        <w:rPr>
          <w:rFonts w:ascii="Arial" w:eastAsia="Times New Roman" w:hAnsi="Arial" w:cs="Arial"/>
          <w:sz w:val="24"/>
          <w:szCs w:val="28"/>
          <w:lang w:val="es-ES" w:eastAsia="es-ES"/>
        </w:rPr>
        <w:t>Zamora Acevedo Miguel</w:t>
      </w:r>
    </w:p>
    <w:p w14:paraId="09368226" w14:textId="77777777" w:rsidR="003513FD" w:rsidRPr="00BB53C0" w:rsidRDefault="003513FD" w:rsidP="003513FD">
      <w:pPr>
        <w:spacing w:after="0" w:line="360" w:lineRule="auto"/>
        <w:jc w:val="both"/>
        <w:rPr>
          <w:rFonts w:ascii="Arial" w:eastAsia="Times New Roman" w:hAnsi="Arial" w:cs="Arial"/>
          <w:b/>
          <w:bCs/>
          <w:sz w:val="24"/>
          <w:szCs w:val="28"/>
          <w:lang w:val="es-ES" w:eastAsia="es-ES"/>
        </w:rPr>
      </w:pPr>
    </w:p>
    <w:p w14:paraId="0B2B9685" w14:textId="75EC5725" w:rsidR="00E2481B" w:rsidRDefault="003513FD" w:rsidP="003513FD">
      <w:pPr>
        <w:spacing w:after="0" w:line="360" w:lineRule="auto"/>
        <w:ind w:firstLine="708"/>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La Sala de Casación Penal celebró el 40 aniversario, el día 25 de noviembre de 2020, tuve el agrado de realizar la Introducción Exposición del Dr. Juan Carlos Ortiz Pradillo, profesor de la Universidad de Castilla- La Mancha, de España. “La globalización de la delincuencia y el uso delictivo de la tecnología y sus problemas procesales de investigación y prueba.</w:t>
      </w:r>
    </w:p>
    <w:p w14:paraId="06D810D8" w14:textId="77777777" w:rsidR="00E2481B" w:rsidRDefault="00E2481B">
      <w:pPr>
        <w:spacing w:after="0" w:line="240" w:lineRule="auto"/>
        <w:rPr>
          <w:rFonts w:ascii="Arial" w:eastAsia="Times New Roman" w:hAnsi="Arial" w:cs="Arial"/>
          <w:sz w:val="24"/>
          <w:szCs w:val="24"/>
          <w:lang w:val="es-ES" w:eastAsia="es-ES"/>
        </w:rPr>
      </w:pPr>
      <w:r>
        <w:rPr>
          <w:rFonts w:ascii="Arial" w:eastAsia="Times New Roman" w:hAnsi="Arial" w:cs="Arial"/>
          <w:sz w:val="24"/>
          <w:szCs w:val="24"/>
          <w:lang w:val="es-ES" w:eastAsia="es-ES"/>
        </w:rPr>
        <w:br w:type="page"/>
      </w:r>
    </w:p>
    <w:p w14:paraId="26ADD5B5" w14:textId="77777777" w:rsidR="003513FD" w:rsidRPr="00BB53C0" w:rsidRDefault="003513FD" w:rsidP="003513FD">
      <w:pPr>
        <w:spacing w:after="0" w:line="360" w:lineRule="auto"/>
        <w:ind w:firstLine="708"/>
        <w:jc w:val="both"/>
        <w:rPr>
          <w:rFonts w:ascii="Arial" w:eastAsia="Times New Roman" w:hAnsi="Arial" w:cs="Arial"/>
          <w:sz w:val="24"/>
          <w:szCs w:val="24"/>
          <w:lang w:val="es-ES" w:eastAsia="es-ES"/>
        </w:rPr>
      </w:pPr>
    </w:p>
    <w:p w14:paraId="3C1BC2A1" w14:textId="1F265E45" w:rsidR="00CE7032" w:rsidRPr="006606AE" w:rsidRDefault="00E2481B" w:rsidP="006606AE">
      <w:pPr>
        <w:pStyle w:val="Textoindependiente"/>
        <w:numPr>
          <w:ilvl w:val="0"/>
          <w:numId w:val="25"/>
        </w:numPr>
        <w:spacing w:before="1"/>
        <w:ind w:right="1542"/>
        <w:jc w:val="center"/>
        <w:rPr>
          <w:rFonts w:ascii="Arial" w:hAnsi="Arial" w:cs="Arial"/>
          <w:b/>
          <w:sz w:val="24"/>
          <w:szCs w:val="24"/>
          <w:u w:val="single"/>
        </w:rPr>
      </w:pPr>
      <w:r>
        <w:rPr>
          <w:rFonts w:ascii="Arial" w:hAnsi="Arial" w:cs="Arial"/>
          <w:b/>
          <w:sz w:val="24"/>
          <w:szCs w:val="24"/>
          <w:u w:val="single"/>
        </w:rPr>
        <w:t>C</w:t>
      </w:r>
      <w:r w:rsidR="00CE7032" w:rsidRPr="006606AE">
        <w:rPr>
          <w:rFonts w:ascii="Arial" w:hAnsi="Arial" w:cs="Arial"/>
          <w:b/>
          <w:sz w:val="24"/>
          <w:szCs w:val="24"/>
          <w:u w:val="single"/>
        </w:rPr>
        <w:t>OMISIÓN NACIONAL DE FLAGRANCIA</w:t>
      </w:r>
    </w:p>
    <w:p w14:paraId="438CF526" w14:textId="77777777" w:rsidR="00E2481B" w:rsidRDefault="00E2481B" w:rsidP="00E2481B">
      <w:pPr>
        <w:pStyle w:val="Textoindependiente"/>
        <w:spacing w:before="1"/>
        <w:ind w:left="1416" w:right="1542"/>
        <w:rPr>
          <w:rFonts w:ascii="Arial" w:hAnsi="Arial" w:cs="Arial"/>
          <w:b/>
          <w:i/>
          <w:iCs/>
          <w:sz w:val="24"/>
          <w:szCs w:val="24"/>
        </w:rPr>
      </w:pPr>
    </w:p>
    <w:p w14:paraId="11A579EA" w14:textId="77777777" w:rsidR="00E2481B" w:rsidRPr="002038FB" w:rsidRDefault="00E2481B" w:rsidP="00E2481B">
      <w:pPr>
        <w:pStyle w:val="Textoindependiente"/>
        <w:widowControl w:val="0"/>
        <w:numPr>
          <w:ilvl w:val="0"/>
          <w:numId w:val="33"/>
        </w:numPr>
        <w:tabs>
          <w:tab w:val="clear" w:pos="850"/>
          <w:tab w:val="clear" w:pos="1191"/>
          <w:tab w:val="clear" w:pos="1531"/>
        </w:tabs>
        <w:suppressAutoHyphens w:val="0"/>
        <w:autoSpaceDE w:val="0"/>
        <w:autoSpaceDN w:val="0"/>
        <w:spacing w:before="1" w:after="0"/>
        <w:ind w:right="1542"/>
        <w:rPr>
          <w:rFonts w:ascii="Arial" w:hAnsi="Arial" w:cs="Arial"/>
          <w:b/>
          <w:i/>
          <w:iCs/>
          <w:sz w:val="24"/>
          <w:szCs w:val="24"/>
        </w:rPr>
      </w:pPr>
      <w:r>
        <w:rPr>
          <w:rFonts w:ascii="Arial" w:hAnsi="Arial" w:cs="Arial"/>
          <w:b/>
          <w:i/>
          <w:iCs/>
          <w:sz w:val="24"/>
          <w:szCs w:val="24"/>
        </w:rPr>
        <w:t>ANTECEDENTE.</w:t>
      </w:r>
    </w:p>
    <w:p w14:paraId="4879768E" w14:textId="77777777" w:rsidR="00E2481B" w:rsidRDefault="00E2481B" w:rsidP="00E2481B">
      <w:pPr>
        <w:spacing w:line="360" w:lineRule="auto"/>
        <w:ind w:firstLine="708"/>
        <w:jc w:val="both"/>
        <w:rPr>
          <w:rFonts w:ascii="Arial" w:hAnsi="Arial" w:cs="Arial"/>
          <w:iCs/>
          <w:sz w:val="24"/>
          <w:szCs w:val="24"/>
        </w:rPr>
      </w:pPr>
    </w:p>
    <w:p w14:paraId="60FD62C2" w14:textId="1596B4D8" w:rsidR="00E2481B" w:rsidRPr="00E60074" w:rsidRDefault="00E2481B" w:rsidP="00E2481B">
      <w:pPr>
        <w:spacing w:line="360" w:lineRule="auto"/>
        <w:ind w:firstLine="708"/>
        <w:jc w:val="both"/>
        <w:rPr>
          <w:rFonts w:ascii="Arial" w:hAnsi="Arial" w:cs="Arial"/>
          <w:sz w:val="24"/>
          <w:szCs w:val="24"/>
        </w:rPr>
      </w:pPr>
      <w:r>
        <w:rPr>
          <w:rFonts w:ascii="Arial" w:hAnsi="Arial" w:cs="Arial"/>
          <w:iCs/>
          <w:sz w:val="24"/>
          <w:szCs w:val="24"/>
        </w:rPr>
        <w:t xml:space="preserve">La Comisión Nacional de Flagrancia, remonta su historia en los propios orígenes del procedimiento </w:t>
      </w:r>
      <w:r w:rsidRPr="00E60074">
        <w:rPr>
          <w:rFonts w:ascii="Arial" w:hAnsi="Arial" w:cs="Arial"/>
          <w:bCs/>
          <w:iCs/>
          <w:sz w:val="24"/>
          <w:szCs w:val="24"/>
        </w:rPr>
        <w:t>especial de Flagrancia</w:t>
      </w:r>
      <w:r>
        <w:rPr>
          <w:rFonts w:ascii="Arial" w:hAnsi="Arial" w:cs="Arial"/>
          <w:bCs/>
          <w:iCs/>
          <w:sz w:val="24"/>
          <w:szCs w:val="24"/>
        </w:rPr>
        <w:t xml:space="preserve">; </w:t>
      </w:r>
      <w:r w:rsidRPr="00E60074">
        <w:rPr>
          <w:rFonts w:ascii="Arial" w:hAnsi="Arial" w:cs="Arial"/>
          <w:bCs/>
          <w:iCs/>
          <w:sz w:val="24"/>
          <w:szCs w:val="24"/>
        </w:rPr>
        <w:t xml:space="preserve"> </w:t>
      </w:r>
      <w:r>
        <w:rPr>
          <w:rFonts w:ascii="Arial" w:hAnsi="Arial" w:cs="Arial"/>
          <w:bCs/>
          <w:iCs/>
          <w:sz w:val="24"/>
          <w:szCs w:val="24"/>
        </w:rPr>
        <w:t xml:space="preserve">precisamente, un </w:t>
      </w:r>
      <w:r w:rsidRPr="00E60074">
        <w:rPr>
          <w:rFonts w:ascii="Arial" w:hAnsi="Arial" w:cs="Arial"/>
          <w:sz w:val="24"/>
          <w:szCs w:val="24"/>
        </w:rPr>
        <w:t xml:space="preserve">25 de agosto del </w:t>
      </w:r>
      <w:r>
        <w:rPr>
          <w:rFonts w:ascii="Arial" w:hAnsi="Arial" w:cs="Arial"/>
          <w:sz w:val="24"/>
          <w:szCs w:val="24"/>
        </w:rPr>
        <w:t xml:space="preserve">año </w:t>
      </w:r>
      <w:r w:rsidRPr="00E60074">
        <w:rPr>
          <w:rFonts w:ascii="Arial" w:hAnsi="Arial" w:cs="Arial"/>
          <w:sz w:val="24"/>
          <w:szCs w:val="24"/>
        </w:rPr>
        <w:t>2008, cuando Corte Plena, en sesión 28-2008, artículo XV</w:t>
      </w:r>
      <w:r w:rsidRPr="00E60074">
        <w:rPr>
          <w:rStyle w:val="Refdenotaalpie"/>
          <w:rFonts w:ascii="Arial" w:hAnsi="Arial" w:cs="Arial"/>
          <w:sz w:val="24"/>
          <w:szCs w:val="24"/>
        </w:rPr>
        <w:footnoteReference w:id="2"/>
      </w:r>
      <w:r>
        <w:rPr>
          <w:rFonts w:ascii="Arial" w:hAnsi="Arial" w:cs="Arial"/>
          <w:sz w:val="24"/>
          <w:szCs w:val="24"/>
        </w:rPr>
        <w:t xml:space="preserve">; y ante la </w:t>
      </w:r>
      <w:r w:rsidRPr="00E60074">
        <w:rPr>
          <w:rFonts w:ascii="Arial" w:hAnsi="Arial" w:cs="Arial"/>
          <w:sz w:val="24"/>
          <w:szCs w:val="24"/>
        </w:rPr>
        <w:t>necesidad de resolver</w:t>
      </w:r>
      <w:r>
        <w:rPr>
          <w:rFonts w:ascii="Arial" w:hAnsi="Arial" w:cs="Arial"/>
          <w:sz w:val="24"/>
          <w:szCs w:val="24"/>
        </w:rPr>
        <w:t xml:space="preserve">; sin que implicara una reforma legal, </w:t>
      </w:r>
      <w:r w:rsidRPr="00E60074">
        <w:rPr>
          <w:rFonts w:ascii="Arial" w:hAnsi="Arial" w:cs="Arial"/>
          <w:sz w:val="24"/>
          <w:szCs w:val="24"/>
        </w:rPr>
        <w:t xml:space="preserve">la duración de los procesos penales, </w:t>
      </w:r>
      <w:r>
        <w:rPr>
          <w:rFonts w:ascii="Arial" w:hAnsi="Arial" w:cs="Arial"/>
          <w:sz w:val="24"/>
          <w:szCs w:val="24"/>
        </w:rPr>
        <w:t>en especial respecto de</w:t>
      </w:r>
      <w:r w:rsidRPr="00E60074">
        <w:rPr>
          <w:rFonts w:ascii="Arial" w:hAnsi="Arial" w:cs="Arial"/>
          <w:sz w:val="24"/>
          <w:szCs w:val="24"/>
        </w:rPr>
        <w:t xml:space="preserve"> aquellos que se estimaban como “</w:t>
      </w:r>
      <w:r w:rsidRPr="003E2834">
        <w:rPr>
          <w:rFonts w:ascii="Arial" w:hAnsi="Arial" w:cs="Arial"/>
          <w:i/>
          <w:iCs/>
          <w:sz w:val="24"/>
          <w:szCs w:val="24"/>
        </w:rPr>
        <w:t>sencillos</w:t>
      </w:r>
      <w:r w:rsidRPr="00E60074">
        <w:rPr>
          <w:rFonts w:ascii="Arial" w:hAnsi="Arial" w:cs="Arial"/>
          <w:sz w:val="24"/>
          <w:szCs w:val="24"/>
        </w:rPr>
        <w:t>” y de “</w:t>
      </w:r>
      <w:r w:rsidRPr="003E2834">
        <w:rPr>
          <w:rFonts w:ascii="Arial" w:hAnsi="Arial" w:cs="Arial"/>
          <w:i/>
          <w:iCs/>
          <w:sz w:val="24"/>
          <w:szCs w:val="24"/>
        </w:rPr>
        <w:t>fácil investigación</w:t>
      </w:r>
      <w:r w:rsidRPr="00E60074">
        <w:rPr>
          <w:rFonts w:ascii="Arial" w:hAnsi="Arial" w:cs="Arial"/>
          <w:sz w:val="24"/>
          <w:szCs w:val="24"/>
        </w:rPr>
        <w:t>”</w:t>
      </w:r>
      <w:r>
        <w:rPr>
          <w:rFonts w:ascii="Arial" w:hAnsi="Arial" w:cs="Arial"/>
          <w:sz w:val="24"/>
          <w:szCs w:val="24"/>
        </w:rPr>
        <w:t>; a</w:t>
      </w:r>
      <w:r w:rsidRPr="00E60074">
        <w:rPr>
          <w:rFonts w:ascii="Arial" w:hAnsi="Arial" w:cs="Arial"/>
          <w:sz w:val="24"/>
          <w:szCs w:val="24"/>
        </w:rPr>
        <w:t xml:space="preserve">cordó implementar un plan piloto que </w:t>
      </w:r>
      <w:r>
        <w:rPr>
          <w:rFonts w:ascii="Arial" w:hAnsi="Arial" w:cs="Arial"/>
          <w:sz w:val="24"/>
          <w:szCs w:val="24"/>
        </w:rPr>
        <w:t>se ejecutó</w:t>
      </w:r>
      <w:r w:rsidRPr="00E60074">
        <w:rPr>
          <w:rFonts w:ascii="Arial" w:hAnsi="Arial" w:cs="Arial"/>
          <w:sz w:val="24"/>
          <w:szCs w:val="24"/>
        </w:rPr>
        <w:t xml:space="preserve"> en el II Circuito Judicial de Goicochea</w:t>
      </w:r>
      <w:r>
        <w:rPr>
          <w:rFonts w:ascii="Arial" w:hAnsi="Arial" w:cs="Arial"/>
          <w:sz w:val="24"/>
          <w:szCs w:val="24"/>
        </w:rPr>
        <w:t>.</w:t>
      </w:r>
    </w:p>
    <w:p w14:paraId="73C29021" w14:textId="77777777" w:rsidR="00E2481B" w:rsidRDefault="00E2481B" w:rsidP="00E2481B">
      <w:pPr>
        <w:spacing w:after="0" w:line="360" w:lineRule="auto"/>
        <w:ind w:firstLine="360"/>
        <w:jc w:val="both"/>
        <w:rPr>
          <w:rFonts w:ascii="Arial" w:hAnsi="Arial" w:cs="Arial"/>
          <w:sz w:val="24"/>
          <w:szCs w:val="24"/>
        </w:rPr>
      </w:pPr>
      <w:r>
        <w:rPr>
          <w:rFonts w:ascii="Arial" w:hAnsi="Arial" w:cs="Arial"/>
          <w:sz w:val="24"/>
          <w:szCs w:val="24"/>
        </w:rPr>
        <w:t>Bajo</w:t>
      </w:r>
      <w:r w:rsidRPr="00E60074">
        <w:rPr>
          <w:rFonts w:ascii="Arial" w:hAnsi="Arial" w:cs="Arial"/>
          <w:sz w:val="24"/>
          <w:szCs w:val="24"/>
        </w:rPr>
        <w:t xml:space="preserve"> este planteamiento, se </w:t>
      </w:r>
      <w:r>
        <w:rPr>
          <w:rFonts w:ascii="Arial" w:hAnsi="Arial" w:cs="Arial"/>
          <w:sz w:val="24"/>
          <w:szCs w:val="24"/>
        </w:rPr>
        <w:t xml:space="preserve">comenzó a perfilar el diseño de un nuevo procedimiento penal que fuera i) expedito, sencillo y efectivo, </w:t>
      </w:r>
      <w:proofErr w:type="spellStart"/>
      <w:r>
        <w:rPr>
          <w:rFonts w:ascii="Arial" w:hAnsi="Arial" w:cs="Arial"/>
          <w:sz w:val="24"/>
          <w:szCs w:val="24"/>
        </w:rPr>
        <w:t>ii</w:t>
      </w:r>
      <w:proofErr w:type="spellEnd"/>
      <w:r>
        <w:rPr>
          <w:rFonts w:ascii="Arial" w:hAnsi="Arial" w:cs="Arial"/>
          <w:sz w:val="24"/>
          <w:szCs w:val="24"/>
        </w:rPr>
        <w:t xml:space="preserve">) de calidad; </w:t>
      </w:r>
      <w:proofErr w:type="spellStart"/>
      <w:r>
        <w:rPr>
          <w:rFonts w:ascii="Arial" w:hAnsi="Arial" w:cs="Arial"/>
          <w:sz w:val="24"/>
          <w:szCs w:val="24"/>
        </w:rPr>
        <w:t>iii</w:t>
      </w:r>
      <w:proofErr w:type="spellEnd"/>
      <w:r>
        <w:rPr>
          <w:rFonts w:ascii="Arial" w:hAnsi="Arial" w:cs="Arial"/>
          <w:sz w:val="24"/>
          <w:szCs w:val="24"/>
        </w:rPr>
        <w:t xml:space="preserve">) asegurando todos los derechos y garantías procesales; </w:t>
      </w:r>
      <w:proofErr w:type="spellStart"/>
      <w:r>
        <w:rPr>
          <w:rFonts w:ascii="Arial" w:hAnsi="Arial" w:cs="Arial"/>
          <w:sz w:val="24"/>
          <w:szCs w:val="24"/>
        </w:rPr>
        <w:t>iv</w:t>
      </w:r>
      <w:proofErr w:type="spellEnd"/>
      <w:r>
        <w:rPr>
          <w:rFonts w:ascii="Arial" w:hAnsi="Arial" w:cs="Arial"/>
          <w:sz w:val="24"/>
          <w:szCs w:val="24"/>
        </w:rPr>
        <w:t>) que respetara las fases del proceso penal, vi) que fuera oral</w:t>
      </w:r>
      <w:r w:rsidRPr="00E60074">
        <w:rPr>
          <w:rStyle w:val="Refdenotaalpie"/>
          <w:rFonts w:ascii="Arial" w:hAnsi="Arial" w:cs="Arial"/>
          <w:sz w:val="24"/>
          <w:szCs w:val="24"/>
        </w:rPr>
        <w:footnoteReference w:id="3"/>
      </w:r>
      <w:r>
        <w:rPr>
          <w:rFonts w:ascii="Arial" w:hAnsi="Arial" w:cs="Arial"/>
          <w:sz w:val="24"/>
          <w:szCs w:val="24"/>
        </w:rPr>
        <w:t>.</w:t>
      </w:r>
    </w:p>
    <w:p w14:paraId="0A203229" w14:textId="77777777" w:rsidR="00E2481B" w:rsidRPr="00E60074" w:rsidRDefault="00E2481B" w:rsidP="00E2481B">
      <w:pPr>
        <w:spacing w:after="0" w:line="360" w:lineRule="auto"/>
        <w:ind w:firstLine="360"/>
        <w:jc w:val="both"/>
        <w:rPr>
          <w:rFonts w:ascii="Arial" w:hAnsi="Arial" w:cs="Arial"/>
          <w:sz w:val="24"/>
          <w:szCs w:val="24"/>
        </w:rPr>
      </w:pPr>
    </w:p>
    <w:p w14:paraId="1030FF3A" w14:textId="77777777" w:rsidR="00E2481B" w:rsidRDefault="00E2481B" w:rsidP="00E2481B">
      <w:pPr>
        <w:spacing w:after="0" w:line="360" w:lineRule="auto"/>
        <w:ind w:firstLine="360"/>
        <w:jc w:val="both"/>
        <w:rPr>
          <w:rFonts w:ascii="Arial" w:hAnsi="Arial" w:cs="Arial"/>
          <w:sz w:val="24"/>
          <w:szCs w:val="24"/>
        </w:rPr>
      </w:pPr>
      <w:r>
        <w:rPr>
          <w:rFonts w:ascii="Arial" w:hAnsi="Arial" w:cs="Arial"/>
          <w:sz w:val="24"/>
          <w:szCs w:val="24"/>
        </w:rPr>
        <w:lastRenderedPageBreak/>
        <w:t>Esta iniciativa</w:t>
      </w:r>
      <w:r w:rsidRPr="00E60074">
        <w:rPr>
          <w:rFonts w:ascii="Arial" w:hAnsi="Arial" w:cs="Arial"/>
          <w:sz w:val="24"/>
          <w:szCs w:val="24"/>
        </w:rPr>
        <w:t>, fue en gran medida</w:t>
      </w:r>
      <w:r>
        <w:rPr>
          <w:rFonts w:ascii="Arial" w:hAnsi="Arial" w:cs="Arial"/>
          <w:sz w:val="24"/>
          <w:szCs w:val="24"/>
        </w:rPr>
        <w:t>,</w:t>
      </w:r>
      <w:r w:rsidRPr="00E60074">
        <w:rPr>
          <w:rFonts w:ascii="Arial" w:hAnsi="Arial" w:cs="Arial"/>
          <w:sz w:val="24"/>
          <w:szCs w:val="24"/>
        </w:rPr>
        <w:t xml:space="preserve"> el impulso de lo que hoy </w:t>
      </w:r>
      <w:r>
        <w:rPr>
          <w:rFonts w:ascii="Arial" w:hAnsi="Arial" w:cs="Arial"/>
          <w:sz w:val="24"/>
          <w:szCs w:val="24"/>
        </w:rPr>
        <w:t xml:space="preserve">conocemos como el procedimiento especial de flagrancia, </w:t>
      </w:r>
      <w:r w:rsidRPr="00E60074">
        <w:rPr>
          <w:rFonts w:ascii="Arial" w:hAnsi="Arial" w:cs="Arial"/>
          <w:sz w:val="24"/>
          <w:szCs w:val="24"/>
        </w:rPr>
        <w:t xml:space="preserve">vertido en los enunciados </w:t>
      </w:r>
      <w:r>
        <w:rPr>
          <w:rFonts w:ascii="Arial" w:hAnsi="Arial" w:cs="Arial"/>
          <w:sz w:val="24"/>
          <w:szCs w:val="24"/>
        </w:rPr>
        <w:t>de</w:t>
      </w:r>
      <w:r w:rsidRPr="00E60074">
        <w:rPr>
          <w:rFonts w:ascii="Arial" w:hAnsi="Arial" w:cs="Arial"/>
          <w:sz w:val="24"/>
          <w:szCs w:val="24"/>
        </w:rPr>
        <w:t xml:space="preserve"> la Ley 8720</w:t>
      </w:r>
      <w:r w:rsidRPr="00E60074">
        <w:rPr>
          <w:rStyle w:val="Refdenotaalpie"/>
          <w:rFonts w:ascii="Arial" w:hAnsi="Arial" w:cs="Arial"/>
          <w:sz w:val="24"/>
          <w:szCs w:val="24"/>
        </w:rPr>
        <w:footnoteReference w:id="4"/>
      </w:r>
      <w:r w:rsidRPr="00E60074">
        <w:rPr>
          <w:rFonts w:ascii="Arial" w:hAnsi="Arial" w:cs="Arial"/>
          <w:sz w:val="24"/>
          <w:szCs w:val="24"/>
        </w:rPr>
        <w:t>, hoy</w:t>
      </w:r>
      <w:r>
        <w:rPr>
          <w:rFonts w:ascii="Arial" w:hAnsi="Arial" w:cs="Arial"/>
          <w:sz w:val="24"/>
          <w:szCs w:val="24"/>
        </w:rPr>
        <w:t>,</w:t>
      </w:r>
      <w:r w:rsidRPr="00E60074">
        <w:rPr>
          <w:rFonts w:ascii="Arial" w:hAnsi="Arial" w:cs="Arial"/>
          <w:sz w:val="24"/>
          <w:szCs w:val="24"/>
        </w:rPr>
        <w:t xml:space="preserve"> Título VIII “</w:t>
      </w:r>
      <w:r w:rsidRPr="0099743C">
        <w:rPr>
          <w:rFonts w:ascii="Arial" w:hAnsi="Arial" w:cs="Arial"/>
          <w:i/>
          <w:iCs/>
          <w:sz w:val="24"/>
          <w:szCs w:val="24"/>
        </w:rPr>
        <w:t>Procedimiento expedito para los delitos en Flagrancia</w:t>
      </w:r>
      <w:r w:rsidRPr="00E60074">
        <w:rPr>
          <w:rFonts w:ascii="Arial" w:hAnsi="Arial" w:cs="Arial"/>
          <w:sz w:val="24"/>
          <w:szCs w:val="24"/>
        </w:rPr>
        <w:t>”,</w:t>
      </w:r>
      <w:r>
        <w:rPr>
          <w:rFonts w:ascii="Arial" w:hAnsi="Arial" w:cs="Arial"/>
          <w:sz w:val="24"/>
          <w:szCs w:val="24"/>
        </w:rPr>
        <w:t xml:space="preserve"> de</w:t>
      </w:r>
      <w:r w:rsidRPr="00E60074">
        <w:rPr>
          <w:rFonts w:ascii="Arial" w:hAnsi="Arial" w:cs="Arial"/>
          <w:sz w:val="24"/>
          <w:szCs w:val="24"/>
        </w:rPr>
        <w:t xml:space="preserve"> nuestro Código Procesal Penal</w:t>
      </w:r>
      <w:r>
        <w:rPr>
          <w:rFonts w:ascii="Arial" w:hAnsi="Arial" w:cs="Arial"/>
          <w:sz w:val="24"/>
          <w:szCs w:val="24"/>
        </w:rPr>
        <w:t>.</w:t>
      </w:r>
    </w:p>
    <w:p w14:paraId="42BC0D9E" w14:textId="77777777" w:rsidR="00E2481B" w:rsidRDefault="00E2481B" w:rsidP="00E2481B">
      <w:pPr>
        <w:spacing w:after="0" w:line="360" w:lineRule="auto"/>
        <w:ind w:firstLine="360"/>
        <w:jc w:val="both"/>
        <w:rPr>
          <w:rFonts w:ascii="Arial" w:hAnsi="Arial" w:cs="Arial"/>
          <w:sz w:val="24"/>
          <w:szCs w:val="24"/>
        </w:rPr>
      </w:pPr>
    </w:p>
    <w:p w14:paraId="43632D0E" w14:textId="77777777" w:rsidR="00E2481B" w:rsidRPr="00E60074" w:rsidRDefault="00E2481B" w:rsidP="00E2481B">
      <w:pPr>
        <w:spacing w:line="360" w:lineRule="auto"/>
        <w:ind w:firstLine="360"/>
        <w:jc w:val="both"/>
        <w:rPr>
          <w:rFonts w:ascii="Arial" w:hAnsi="Arial" w:cs="Arial"/>
          <w:sz w:val="24"/>
          <w:szCs w:val="24"/>
        </w:rPr>
      </w:pPr>
      <w:r>
        <w:rPr>
          <w:rFonts w:ascii="Arial" w:hAnsi="Arial" w:cs="Arial"/>
          <w:sz w:val="24"/>
          <w:szCs w:val="24"/>
        </w:rPr>
        <w:t>Con</w:t>
      </w:r>
      <w:r w:rsidRPr="00E60074">
        <w:rPr>
          <w:rFonts w:ascii="Arial" w:hAnsi="Arial" w:cs="Arial"/>
          <w:sz w:val="24"/>
          <w:szCs w:val="24"/>
        </w:rPr>
        <w:t xml:space="preserve"> esta modificación</w:t>
      </w:r>
      <w:r>
        <w:rPr>
          <w:rFonts w:ascii="Arial" w:hAnsi="Arial" w:cs="Arial"/>
          <w:sz w:val="24"/>
          <w:szCs w:val="24"/>
        </w:rPr>
        <w:t xml:space="preserve"> legal</w:t>
      </w:r>
      <w:r w:rsidRPr="00E60074">
        <w:rPr>
          <w:rFonts w:ascii="Arial" w:hAnsi="Arial" w:cs="Arial"/>
          <w:sz w:val="24"/>
          <w:szCs w:val="24"/>
        </w:rPr>
        <w:t xml:space="preserve">, se </w:t>
      </w:r>
      <w:r>
        <w:rPr>
          <w:rFonts w:ascii="Arial" w:hAnsi="Arial" w:cs="Arial"/>
          <w:sz w:val="24"/>
          <w:szCs w:val="24"/>
        </w:rPr>
        <w:t>produjo la</w:t>
      </w:r>
      <w:r w:rsidRPr="00E60074">
        <w:rPr>
          <w:rFonts w:ascii="Arial" w:hAnsi="Arial" w:cs="Arial"/>
          <w:sz w:val="24"/>
          <w:szCs w:val="24"/>
        </w:rPr>
        <w:t xml:space="preserve"> reestructuración organizacional </w:t>
      </w:r>
      <w:r>
        <w:rPr>
          <w:rFonts w:ascii="Arial" w:hAnsi="Arial" w:cs="Arial"/>
          <w:sz w:val="24"/>
          <w:szCs w:val="24"/>
        </w:rPr>
        <w:t>de la materia penal en el Poder Judicial, estableciéndose las secciones de flagrancia</w:t>
      </w:r>
      <w:r w:rsidRPr="00E60074">
        <w:rPr>
          <w:rFonts w:ascii="Arial" w:hAnsi="Arial" w:cs="Arial"/>
          <w:sz w:val="24"/>
          <w:szCs w:val="24"/>
        </w:rPr>
        <w:t xml:space="preserve">, </w:t>
      </w:r>
      <w:r>
        <w:rPr>
          <w:rFonts w:ascii="Arial" w:hAnsi="Arial" w:cs="Arial"/>
          <w:sz w:val="24"/>
          <w:szCs w:val="24"/>
        </w:rPr>
        <w:t xml:space="preserve">no como jurisdicción especializada, sino que, </w:t>
      </w:r>
      <w:r w:rsidRPr="00E60074">
        <w:rPr>
          <w:rFonts w:ascii="Arial" w:hAnsi="Arial" w:cs="Arial"/>
          <w:sz w:val="24"/>
          <w:szCs w:val="24"/>
        </w:rPr>
        <w:t xml:space="preserve">como parte de los </w:t>
      </w:r>
      <w:r>
        <w:rPr>
          <w:rFonts w:ascii="Arial" w:hAnsi="Arial" w:cs="Arial"/>
          <w:sz w:val="24"/>
          <w:szCs w:val="24"/>
        </w:rPr>
        <w:t>T</w:t>
      </w:r>
      <w:r w:rsidRPr="00E60074">
        <w:rPr>
          <w:rFonts w:ascii="Arial" w:hAnsi="Arial" w:cs="Arial"/>
          <w:sz w:val="24"/>
          <w:szCs w:val="24"/>
        </w:rPr>
        <w:t>ribunales ordinarios</w:t>
      </w:r>
      <w:r>
        <w:rPr>
          <w:rFonts w:ascii="Arial" w:hAnsi="Arial" w:cs="Arial"/>
          <w:sz w:val="24"/>
          <w:szCs w:val="24"/>
        </w:rPr>
        <w:t xml:space="preserve">. Esta transformación conllevó el </w:t>
      </w:r>
      <w:r w:rsidRPr="00E60074">
        <w:rPr>
          <w:rFonts w:ascii="Arial" w:hAnsi="Arial" w:cs="Arial"/>
          <w:sz w:val="24"/>
          <w:szCs w:val="24"/>
        </w:rPr>
        <w:t xml:space="preserve">necesario acompañamiento especializado, </w:t>
      </w:r>
      <w:r>
        <w:rPr>
          <w:rFonts w:ascii="Arial" w:hAnsi="Arial" w:cs="Arial"/>
          <w:sz w:val="24"/>
          <w:szCs w:val="24"/>
        </w:rPr>
        <w:t xml:space="preserve">para que, en principio, </w:t>
      </w:r>
      <w:r w:rsidRPr="00E60074">
        <w:rPr>
          <w:rFonts w:ascii="Arial" w:hAnsi="Arial" w:cs="Arial"/>
          <w:sz w:val="24"/>
          <w:szCs w:val="24"/>
        </w:rPr>
        <w:t xml:space="preserve">estuviese vigilante de la debida ejecución de los asuntos en </w:t>
      </w:r>
      <w:r>
        <w:rPr>
          <w:rFonts w:ascii="Arial" w:hAnsi="Arial" w:cs="Arial"/>
          <w:sz w:val="24"/>
          <w:szCs w:val="24"/>
        </w:rPr>
        <w:t xml:space="preserve">materia de </w:t>
      </w:r>
      <w:r w:rsidRPr="00E60074">
        <w:rPr>
          <w:rFonts w:ascii="Arial" w:hAnsi="Arial" w:cs="Arial"/>
          <w:sz w:val="24"/>
          <w:szCs w:val="24"/>
        </w:rPr>
        <w:t>flagrancia y además, brindaran criterio experto a las personas integrantes de Corte Plena.</w:t>
      </w:r>
    </w:p>
    <w:p w14:paraId="4EC456F0" w14:textId="77777777" w:rsidR="00E2481B" w:rsidRPr="00E60074" w:rsidRDefault="00E2481B" w:rsidP="00E2481B">
      <w:pPr>
        <w:spacing w:after="0" w:line="360" w:lineRule="auto"/>
        <w:ind w:firstLine="360"/>
        <w:jc w:val="both"/>
        <w:rPr>
          <w:rFonts w:ascii="Arial" w:hAnsi="Arial" w:cs="Arial"/>
          <w:iCs/>
          <w:sz w:val="24"/>
          <w:szCs w:val="24"/>
        </w:rPr>
      </w:pPr>
      <w:r w:rsidRPr="00E60074">
        <w:rPr>
          <w:rFonts w:ascii="Arial" w:hAnsi="Arial" w:cs="Arial"/>
          <w:sz w:val="24"/>
          <w:szCs w:val="24"/>
        </w:rPr>
        <w:t xml:space="preserve">La Comisión Nacional de Flagrancia, de conformidad con </w:t>
      </w:r>
      <w:r w:rsidRPr="00E60074">
        <w:rPr>
          <w:rFonts w:ascii="Arial" w:hAnsi="Arial" w:cs="Arial"/>
          <w:bCs/>
          <w:iCs/>
          <w:sz w:val="24"/>
          <w:szCs w:val="24"/>
        </w:rPr>
        <w:t xml:space="preserve">los artículos 67 y 85 de la Ley Orgánica del Poder Judicial y el   Reglamento General de Comisiones de la Corte Suprema de Justicia, es creado por Corte Plena como un órgano especial de carácter mixto y ordinario, cuya </w:t>
      </w:r>
      <w:r w:rsidRPr="00E60074">
        <w:rPr>
          <w:rFonts w:ascii="Arial" w:hAnsi="Arial" w:cs="Arial"/>
          <w:iCs/>
          <w:sz w:val="24"/>
          <w:szCs w:val="24"/>
        </w:rPr>
        <w:t>función está dirigida específicamente a dar apoyo consultivo en la materia que le ha sido designada a Corte Plena</w:t>
      </w:r>
      <w:r>
        <w:rPr>
          <w:rFonts w:ascii="Arial" w:hAnsi="Arial" w:cs="Arial"/>
          <w:iCs/>
          <w:sz w:val="24"/>
          <w:szCs w:val="24"/>
        </w:rPr>
        <w:t xml:space="preserve">, </w:t>
      </w:r>
      <w:r w:rsidRPr="00E60074">
        <w:rPr>
          <w:rFonts w:ascii="Arial" w:hAnsi="Arial" w:cs="Arial"/>
          <w:iCs/>
          <w:sz w:val="24"/>
          <w:szCs w:val="24"/>
        </w:rPr>
        <w:t xml:space="preserve">así </w:t>
      </w:r>
      <w:r>
        <w:rPr>
          <w:rFonts w:ascii="Arial" w:hAnsi="Arial" w:cs="Arial"/>
          <w:iCs/>
          <w:sz w:val="24"/>
          <w:szCs w:val="24"/>
        </w:rPr>
        <w:t>como</w:t>
      </w:r>
      <w:r w:rsidRPr="00E60074">
        <w:rPr>
          <w:rFonts w:ascii="Arial" w:hAnsi="Arial" w:cs="Arial"/>
          <w:iCs/>
          <w:sz w:val="24"/>
          <w:szCs w:val="24"/>
        </w:rPr>
        <w:t>, al Consejo Superior.</w:t>
      </w:r>
    </w:p>
    <w:p w14:paraId="5D4821C2" w14:textId="77777777" w:rsidR="00E2481B" w:rsidRPr="00E60074" w:rsidRDefault="00E2481B" w:rsidP="00E2481B">
      <w:pPr>
        <w:spacing w:after="0" w:line="360" w:lineRule="auto"/>
        <w:jc w:val="both"/>
        <w:rPr>
          <w:rFonts w:ascii="Arial" w:hAnsi="Arial" w:cs="Arial"/>
          <w:iCs/>
          <w:sz w:val="24"/>
          <w:szCs w:val="24"/>
        </w:rPr>
      </w:pPr>
    </w:p>
    <w:p w14:paraId="3343F0E2" w14:textId="77777777" w:rsidR="00E2481B" w:rsidRPr="00E60074" w:rsidRDefault="00E2481B" w:rsidP="00E2481B">
      <w:pPr>
        <w:spacing w:after="0" w:line="360" w:lineRule="auto"/>
        <w:ind w:firstLine="360"/>
        <w:jc w:val="both"/>
        <w:rPr>
          <w:rFonts w:ascii="Arial" w:hAnsi="Arial" w:cs="Arial"/>
          <w:iCs/>
          <w:sz w:val="24"/>
          <w:szCs w:val="24"/>
        </w:rPr>
      </w:pPr>
      <w:r>
        <w:rPr>
          <w:rFonts w:ascii="Arial" w:hAnsi="Arial" w:cs="Arial"/>
          <w:iCs/>
          <w:sz w:val="24"/>
          <w:szCs w:val="24"/>
        </w:rPr>
        <w:t>Esta</w:t>
      </w:r>
      <w:r w:rsidRPr="00E60074">
        <w:rPr>
          <w:rFonts w:ascii="Arial" w:hAnsi="Arial" w:cs="Arial"/>
          <w:iCs/>
          <w:sz w:val="24"/>
          <w:szCs w:val="24"/>
        </w:rPr>
        <w:t xml:space="preserve"> </w:t>
      </w:r>
      <w:r>
        <w:rPr>
          <w:rFonts w:ascii="Arial" w:hAnsi="Arial" w:cs="Arial"/>
          <w:iCs/>
          <w:sz w:val="24"/>
          <w:szCs w:val="24"/>
        </w:rPr>
        <w:t>c</w:t>
      </w:r>
      <w:r w:rsidRPr="00E60074">
        <w:rPr>
          <w:rFonts w:ascii="Arial" w:hAnsi="Arial" w:cs="Arial"/>
          <w:iCs/>
          <w:sz w:val="24"/>
          <w:szCs w:val="24"/>
        </w:rPr>
        <w:t xml:space="preserve">omisión </w:t>
      </w:r>
      <w:r>
        <w:rPr>
          <w:rFonts w:ascii="Arial" w:hAnsi="Arial" w:cs="Arial"/>
          <w:iCs/>
          <w:sz w:val="24"/>
          <w:szCs w:val="24"/>
        </w:rPr>
        <w:t>i</w:t>
      </w:r>
      <w:r w:rsidRPr="00E60074">
        <w:rPr>
          <w:rFonts w:ascii="Arial" w:hAnsi="Arial" w:cs="Arial"/>
          <w:iCs/>
          <w:sz w:val="24"/>
          <w:szCs w:val="24"/>
        </w:rPr>
        <w:t xml:space="preserve">nterinstitucional, está conformada por </w:t>
      </w:r>
      <w:r>
        <w:rPr>
          <w:rFonts w:ascii="Arial" w:hAnsi="Arial" w:cs="Arial"/>
          <w:iCs/>
          <w:sz w:val="24"/>
          <w:szCs w:val="24"/>
        </w:rPr>
        <w:t>las personas</w:t>
      </w:r>
      <w:r w:rsidRPr="00E60074">
        <w:rPr>
          <w:rFonts w:ascii="Arial" w:hAnsi="Arial" w:cs="Arial"/>
          <w:iCs/>
          <w:sz w:val="24"/>
          <w:szCs w:val="24"/>
        </w:rPr>
        <w:t xml:space="preserve"> Jerarca</w:t>
      </w:r>
      <w:r>
        <w:rPr>
          <w:rFonts w:ascii="Arial" w:hAnsi="Arial" w:cs="Arial"/>
          <w:iCs/>
          <w:sz w:val="24"/>
          <w:szCs w:val="24"/>
        </w:rPr>
        <w:t>s</w:t>
      </w:r>
      <w:r w:rsidRPr="00E60074">
        <w:rPr>
          <w:rFonts w:ascii="Arial" w:hAnsi="Arial" w:cs="Arial"/>
          <w:iCs/>
          <w:sz w:val="24"/>
          <w:szCs w:val="24"/>
        </w:rPr>
        <w:t xml:space="preserve"> de</w:t>
      </w:r>
      <w:r>
        <w:rPr>
          <w:rFonts w:ascii="Arial" w:hAnsi="Arial" w:cs="Arial"/>
          <w:iCs/>
          <w:sz w:val="24"/>
          <w:szCs w:val="24"/>
        </w:rPr>
        <w:t>: a) el</w:t>
      </w:r>
      <w:r w:rsidRPr="00E60074">
        <w:rPr>
          <w:rFonts w:ascii="Arial" w:hAnsi="Arial" w:cs="Arial"/>
          <w:iCs/>
          <w:sz w:val="24"/>
          <w:szCs w:val="24"/>
        </w:rPr>
        <w:t xml:space="preserve"> Ministerio Público, </w:t>
      </w:r>
      <w:r>
        <w:rPr>
          <w:rFonts w:ascii="Arial" w:hAnsi="Arial" w:cs="Arial"/>
          <w:iCs/>
          <w:sz w:val="24"/>
          <w:szCs w:val="24"/>
        </w:rPr>
        <w:t xml:space="preserve">b) </w:t>
      </w:r>
      <w:r w:rsidRPr="00E60074">
        <w:rPr>
          <w:rFonts w:ascii="Arial" w:hAnsi="Arial" w:cs="Arial"/>
          <w:iCs/>
          <w:sz w:val="24"/>
          <w:szCs w:val="24"/>
        </w:rPr>
        <w:t xml:space="preserve">la Defensa Pública, </w:t>
      </w:r>
      <w:r>
        <w:rPr>
          <w:rFonts w:ascii="Arial" w:hAnsi="Arial" w:cs="Arial"/>
          <w:iCs/>
          <w:sz w:val="24"/>
          <w:szCs w:val="24"/>
        </w:rPr>
        <w:t xml:space="preserve">c) </w:t>
      </w:r>
      <w:r w:rsidRPr="00E60074">
        <w:rPr>
          <w:rFonts w:ascii="Arial" w:hAnsi="Arial" w:cs="Arial"/>
          <w:iCs/>
          <w:sz w:val="24"/>
          <w:szCs w:val="24"/>
        </w:rPr>
        <w:t>el Organismo de Investigación Judicial,</w:t>
      </w:r>
      <w:r>
        <w:rPr>
          <w:rFonts w:ascii="Arial" w:hAnsi="Arial" w:cs="Arial"/>
          <w:iCs/>
          <w:sz w:val="24"/>
          <w:szCs w:val="24"/>
        </w:rPr>
        <w:t xml:space="preserve"> d)</w:t>
      </w:r>
      <w:r w:rsidRPr="00E60074">
        <w:rPr>
          <w:rFonts w:ascii="Arial" w:hAnsi="Arial" w:cs="Arial"/>
          <w:iCs/>
          <w:sz w:val="24"/>
          <w:szCs w:val="24"/>
        </w:rPr>
        <w:t xml:space="preserve"> de la Dirección Ejecutiva</w:t>
      </w:r>
      <w:r>
        <w:rPr>
          <w:rFonts w:ascii="Arial" w:hAnsi="Arial" w:cs="Arial"/>
          <w:iCs/>
          <w:sz w:val="24"/>
          <w:szCs w:val="24"/>
        </w:rPr>
        <w:t>; también la compone f) un representante de judicatura en materia de flagrancia,</w:t>
      </w:r>
      <w:r w:rsidRPr="00E60074">
        <w:rPr>
          <w:rFonts w:ascii="Arial" w:hAnsi="Arial" w:cs="Arial"/>
          <w:iCs/>
          <w:sz w:val="24"/>
          <w:szCs w:val="24"/>
        </w:rPr>
        <w:t xml:space="preserve"> y</w:t>
      </w:r>
      <w:r>
        <w:rPr>
          <w:rFonts w:ascii="Arial" w:hAnsi="Arial" w:cs="Arial"/>
          <w:iCs/>
          <w:sz w:val="24"/>
          <w:szCs w:val="24"/>
        </w:rPr>
        <w:t>, g)</w:t>
      </w:r>
      <w:r w:rsidRPr="00E60074">
        <w:rPr>
          <w:rFonts w:ascii="Arial" w:hAnsi="Arial" w:cs="Arial"/>
          <w:iCs/>
          <w:sz w:val="24"/>
          <w:szCs w:val="24"/>
        </w:rPr>
        <w:t xml:space="preserve"> una persona Magistrada,</w:t>
      </w:r>
      <w:r>
        <w:rPr>
          <w:rFonts w:ascii="Arial" w:hAnsi="Arial" w:cs="Arial"/>
          <w:iCs/>
          <w:sz w:val="24"/>
          <w:szCs w:val="24"/>
        </w:rPr>
        <w:t xml:space="preserve"> designada por Corte Plena, </w:t>
      </w:r>
      <w:r w:rsidRPr="00E60074">
        <w:rPr>
          <w:rFonts w:ascii="Arial" w:hAnsi="Arial" w:cs="Arial"/>
          <w:iCs/>
          <w:sz w:val="24"/>
          <w:szCs w:val="24"/>
        </w:rPr>
        <w:t>quien funge a su vez, como persona coordinadora del órgano. Actualmente, la señora Patricia Solano Castro, Magistrada propietaria de la Sala de Casación Penal, ostenta el cargo de Coordinadora de la Comisión Nacional de Flagrancia.</w:t>
      </w:r>
    </w:p>
    <w:p w14:paraId="507CED09" w14:textId="77777777" w:rsidR="00E2481B" w:rsidRPr="00E60074" w:rsidRDefault="00E2481B" w:rsidP="00E2481B">
      <w:pPr>
        <w:spacing w:after="0" w:line="360" w:lineRule="auto"/>
        <w:jc w:val="both"/>
        <w:rPr>
          <w:rFonts w:ascii="Arial" w:hAnsi="Arial" w:cs="Arial"/>
          <w:iCs/>
          <w:sz w:val="24"/>
          <w:szCs w:val="24"/>
        </w:rPr>
      </w:pPr>
    </w:p>
    <w:p w14:paraId="639E516D" w14:textId="77777777" w:rsidR="00E2481B" w:rsidRPr="00E60074" w:rsidRDefault="00E2481B" w:rsidP="00E2481B">
      <w:pPr>
        <w:spacing w:after="0" w:line="360" w:lineRule="auto"/>
        <w:ind w:firstLine="360"/>
        <w:jc w:val="both"/>
        <w:rPr>
          <w:rFonts w:ascii="Arial" w:hAnsi="Arial" w:cs="Arial"/>
          <w:sz w:val="24"/>
          <w:szCs w:val="24"/>
        </w:rPr>
      </w:pPr>
      <w:r>
        <w:rPr>
          <w:rFonts w:ascii="Arial" w:hAnsi="Arial" w:cs="Arial"/>
          <w:iCs/>
          <w:sz w:val="24"/>
          <w:szCs w:val="24"/>
        </w:rPr>
        <w:t xml:space="preserve">La función principal de este órgano consultivo, </w:t>
      </w:r>
      <w:r w:rsidRPr="00E60074">
        <w:rPr>
          <w:rFonts w:ascii="Arial" w:hAnsi="Arial" w:cs="Arial"/>
          <w:iCs/>
          <w:sz w:val="24"/>
          <w:szCs w:val="24"/>
        </w:rPr>
        <w:t>es brindar criterio técnico jurídico y consensuado, que sirva de apoyo en las decisiones</w:t>
      </w:r>
      <w:r>
        <w:rPr>
          <w:rFonts w:ascii="Arial" w:hAnsi="Arial" w:cs="Arial"/>
          <w:iCs/>
          <w:sz w:val="24"/>
          <w:szCs w:val="24"/>
        </w:rPr>
        <w:t xml:space="preserve"> de gobierno judicial</w:t>
      </w:r>
      <w:r w:rsidRPr="00E60074">
        <w:rPr>
          <w:rFonts w:ascii="Arial" w:hAnsi="Arial" w:cs="Arial"/>
          <w:iCs/>
          <w:sz w:val="24"/>
          <w:szCs w:val="24"/>
        </w:rPr>
        <w:t xml:space="preserve"> del máximo </w:t>
      </w:r>
      <w:r w:rsidRPr="00E60074">
        <w:rPr>
          <w:rFonts w:ascii="Arial" w:hAnsi="Arial" w:cs="Arial"/>
          <w:iCs/>
          <w:sz w:val="24"/>
          <w:szCs w:val="24"/>
        </w:rPr>
        <w:lastRenderedPageBreak/>
        <w:t xml:space="preserve">Jerarca del Poder Judicial, </w:t>
      </w:r>
      <w:r>
        <w:rPr>
          <w:rFonts w:ascii="Arial" w:hAnsi="Arial" w:cs="Arial"/>
          <w:iCs/>
          <w:sz w:val="24"/>
          <w:szCs w:val="24"/>
        </w:rPr>
        <w:t>conocido como</w:t>
      </w:r>
      <w:r w:rsidRPr="00E60074">
        <w:rPr>
          <w:rFonts w:ascii="Arial" w:hAnsi="Arial" w:cs="Arial"/>
          <w:iCs/>
          <w:sz w:val="24"/>
          <w:szCs w:val="24"/>
        </w:rPr>
        <w:t>, Corte Plena, y</w:t>
      </w:r>
      <w:r>
        <w:rPr>
          <w:rFonts w:ascii="Arial" w:hAnsi="Arial" w:cs="Arial"/>
          <w:iCs/>
          <w:sz w:val="24"/>
          <w:szCs w:val="24"/>
        </w:rPr>
        <w:t xml:space="preserve"> brindar recomendaciones</w:t>
      </w:r>
      <w:r w:rsidRPr="00E60074">
        <w:rPr>
          <w:rFonts w:ascii="Arial" w:hAnsi="Arial" w:cs="Arial"/>
          <w:iCs/>
          <w:sz w:val="24"/>
          <w:szCs w:val="24"/>
        </w:rPr>
        <w:t xml:space="preserve"> que impact</w:t>
      </w:r>
      <w:r>
        <w:rPr>
          <w:rFonts w:ascii="Arial" w:hAnsi="Arial" w:cs="Arial"/>
          <w:iCs/>
          <w:sz w:val="24"/>
          <w:szCs w:val="24"/>
        </w:rPr>
        <w:t>en en</w:t>
      </w:r>
      <w:r w:rsidRPr="00E60074">
        <w:rPr>
          <w:rFonts w:ascii="Arial" w:hAnsi="Arial" w:cs="Arial"/>
          <w:iCs/>
          <w:sz w:val="24"/>
          <w:szCs w:val="24"/>
        </w:rPr>
        <w:t xml:space="preserve"> la buena administración de la justicia, así como las cargas de trabajo entre los distintos despachos y personas colaboradoras auxiliares, en el ámbito jurisdiccional.</w:t>
      </w:r>
    </w:p>
    <w:p w14:paraId="4BA6B6A9" w14:textId="77777777" w:rsidR="00E2481B" w:rsidRDefault="00E2481B" w:rsidP="00E2481B">
      <w:pPr>
        <w:spacing w:line="240" w:lineRule="auto"/>
        <w:jc w:val="both"/>
        <w:rPr>
          <w:rFonts w:ascii="Arial" w:hAnsi="Arial" w:cs="Arial"/>
          <w:iCs/>
          <w:sz w:val="24"/>
          <w:szCs w:val="24"/>
        </w:rPr>
      </w:pPr>
    </w:p>
    <w:p w14:paraId="55BA5918" w14:textId="77777777" w:rsidR="00E2481B" w:rsidRDefault="00E2481B" w:rsidP="00E2481B">
      <w:pPr>
        <w:pStyle w:val="Prrafodelista"/>
        <w:widowControl w:val="0"/>
        <w:numPr>
          <w:ilvl w:val="0"/>
          <w:numId w:val="33"/>
        </w:numPr>
        <w:tabs>
          <w:tab w:val="left" w:pos="567"/>
          <w:tab w:val="left" w:pos="851"/>
          <w:tab w:val="left" w:pos="993"/>
        </w:tabs>
        <w:autoSpaceDE w:val="0"/>
        <w:autoSpaceDN w:val="0"/>
        <w:spacing w:after="0" w:line="240" w:lineRule="auto"/>
        <w:ind w:right="-12"/>
        <w:jc w:val="both"/>
        <w:rPr>
          <w:rFonts w:ascii="Arial" w:hAnsi="Arial" w:cs="Arial"/>
          <w:b/>
          <w:sz w:val="24"/>
          <w:szCs w:val="24"/>
        </w:rPr>
      </w:pPr>
      <w:r>
        <w:rPr>
          <w:rFonts w:ascii="Arial" w:hAnsi="Arial" w:cs="Arial"/>
          <w:b/>
          <w:sz w:val="24"/>
          <w:szCs w:val="24"/>
        </w:rPr>
        <w:t>Acciones Realizadas.</w:t>
      </w:r>
    </w:p>
    <w:p w14:paraId="68F8D68B" w14:textId="77777777" w:rsidR="00E2481B" w:rsidRDefault="00E2481B" w:rsidP="00E2481B">
      <w:pPr>
        <w:pStyle w:val="Prrafodelista"/>
        <w:widowControl w:val="0"/>
        <w:tabs>
          <w:tab w:val="left" w:pos="567"/>
          <w:tab w:val="left" w:pos="851"/>
          <w:tab w:val="left" w:pos="993"/>
        </w:tabs>
        <w:autoSpaceDE w:val="0"/>
        <w:autoSpaceDN w:val="0"/>
        <w:spacing w:after="0" w:line="240" w:lineRule="auto"/>
        <w:ind w:left="0" w:right="-12"/>
        <w:jc w:val="both"/>
        <w:rPr>
          <w:rFonts w:ascii="Arial" w:hAnsi="Arial" w:cs="Arial"/>
          <w:b/>
          <w:sz w:val="24"/>
          <w:szCs w:val="24"/>
        </w:rPr>
      </w:pPr>
    </w:p>
    <w:p w14:paraId="2D4B70C2" w14:textId="77777777" w:rsidR="00E2481B" w:rsidRDefault="00E2481B" w:rsidP="00E2481B">
      <w:pPr>
        <w:pStyle w:val="Prrafodelista"/>
        <w:widowControl w:val="0"/>
        <w:numPr>
          <w:ilvl w:val="0"/>
          <w:numId w:val="34"/>
        </w:numPr>
        <w:tabs>
          <w:tab w:val="left" w:pos="567"/>
          <w:tab w:val="left" w:pos="851"/>
          <w:tab w:val="left" w:pos="993"/>
        </w:tabs>
        <w:autoSpaceDE w:val="0"/>
        <w:autoSpaceDN w:val="0"/>
        <w:spacing w:after="0" w:line="240" w:lineRule="auto"/>
        <w:ind w:right="-12"/>
        <w:jc w:val="both"/>
        <w:rPr>
          <w:rFonts w:ascii="Arial" w:hAnsi="Arial" w:cs="Arial"/>
          <w:b/>
          <w:sz w:val="24"/>
          <w:szCs w:val="24"/>
        </w:rPr>
      </w:pPr>
      <w:r>
        <w:rPr>
          <w:rFonts w:ascii="Arial" w:hAnsi="Arial" w:cs="Arial"/>
          <w:b/>
          <w:sz w:val="24"/>
          <w:szCs w:val="24"/>
        </w:rPr>
        <w:t>Convocatoria a sesiones de trabajo.</w:t>
      </w:r>
    </w:p>
    <w:p w14:paraId="42318949" w14:textId="77777777" w:rsidR="00E2481B" w:rsidRDefault="00E2481B" w:rsidP="00E2481B">
      <w:pPr>
        <w:pStyle w:val="Textoindependiente"/>
        <w:rPr>
          <w:rFonts w:ascii="Arial" w:hAnsi="Arial" w:cs="Arial"/>
          <w:b/>
          <w:i/>
          <w:sz w:val="24"/>
          <w:szCs w:val="24"/>
        </w:rPr>
      </w:pPr>
    </w:p>
    <w:p w14:paraId="016C81F3" w14:textId="77777777" w:rsidR="00E2481B" w:rsidRPr="00CB3B6E" w:rsidRDefault="00E2481B" w:rsidP="00E2481B">
      <w:pPr>
        <w:spacing w:line="360" w:lineRule="auto"/>
        <w:ind w:left="102" w:right="119" w:firstLine="606"/>
        <w:jc w:val="both"/>
        <w:rPr>
          <w:rFonts w:ascii="Arial" w:hAnsi="Arial" w:cs="Arial"/>
          <w:sz w:val="24"/>
          <w:szCs w:val="24"/>
        </w:rPr>
      </w:pPr>
      <w:r>
        <w:rPr>
          <w:rFonts w:ascii="Arial" w:hAnsi="Arial" w:cs="Arial"/>
          <w:sz w:val="24"/>
          <w:szCs w:val="24"/>
        </w:rPr>
        <w:t>Durante el año 2020, atendiéndose las medidas sanitarias implementadas para el trabajo, la Comisión Nacional de Flagrancia efectuó siete sesiones</w:t>
      </w:r>
      <w:r>
        <w:rPr>
          <w:rFonts w:ascii="Arial" w:hAnsi="Arial" w:cs="Arial"/>
          <w:spacing w:val="-13"/>
          <w:sz w:val="24"/>
          <w:szCs w:val="24"/>
        </w:rPr>
        <w:t xml:space="preserve"> ordinarias virtuales, po</w:t>
      </w:r>
      <w:r>
        <w:rPr>
          <w:rFonts w:ascii="Arial" w:hAnsi="Arial" w:cs="Arial"/>
          <w:sz w:val="24"/>
          <w:szCs w:val="24"/>
        </w:rPr>
        <w:t>r medio de la plataforma Microsoft</w:t>
      </w:r>
      <w:r>
        <w:rPr>
          <w:rFonts w:ascii="Arial" w:hAnsi="Arial" w:cs="Arial"/>
          <w:spacing w:val="-27"/>
          <w:sz w:val="24"/>
          <w:szCs w:val="24"/>
        </w:rPr>
        <w:t xml:space="preserve"> </w:t>
      </w:r>
      <w:r>
        <w:rPr>
          <w:rFonts w:ascii="Arial" w:hAnsi="Arial" w:cs="Arial"/>
          <w:sz w:val="24"/>
          <w:szCs w:val="24"/>
        </w:rPr>
        <w:t>Teams, donde se analizó, discutió y deliberó en 25 asuntos que impactan en la gestión de las secciones de flagrancia, por ende, en el valor de servicio de administración de justicia; así como el tratamiento prioritario de capacitación y actualización de las personas que laboran y atienden asuntos de flagrancia, en la materia.</w:t>
      </w:r>
    </w:p>
    <w:p w14:paraId="3AC2053E" w14:textId="77777777" w:rsidR="00E2481B" w:rsidRDefault="00E2481B" w:rsidP="00E2481B">
      <w:pPr>
        <w:shd w:val="clear" w:color="auto" w:fill="FFFFFF"/>
        <w:spacing w:before="120" w:after="0" w:line="240" w:lineRule="auto"/>
        <w:ind w:right="431" w:firstLine="606"/>
        <w:jc w:val="both"/>
        <w:rPr>
          <w:rFonts w:ascii="Arial" w:hAnsi="Arial" w:cs="Arial"/>
          <w:sz w:val="24"/>
          <w:szCs w:val="24"/>
        </w:rPr>
      </w:pPr>
      <w:r>
        <w:rPr>
          <w:rFonts w:ascii="Arial" w:hAnsi="Arial" w:cs="Arial"/>
          <w:sz w:val="24"/>
          <w:szCs w:val="24"/>
        </w:rPr>
        <w:t>De esta forma, se detalla el orden de las discusiones:</w:t>
      </w:r>
    </w:p>
    <w:p w14:paraId="404FFDAE" w14:textId="77777777" w:rsidR="00E2481B" w:rsidRDefault="00E2481B" w:rsidP="00E2481B">
      <w:pPr>
        <w:shd w:val="clear" w:color="auto" w:fill="FFFFFF"/>
        <w:spacing w:before="120" w:after="0" w:line="240" w:lineRule="auto"/>
        <w:ind w:right="431" w:firstLine="606"/>
        <w:jc w:val="both"/>
        <w:rPr>
          <w:rFonts w:ascii="Arial" w:hAnsi="Arial" w:cs="Arial"/>
          <w:sz w:val="24"/>
          <w:szCs w:val="24"/>
        </w:rPr>
      </w:pPr>
    </w:p>
    <w:p w14:paraId="57C3DF91" w14:textId="77777777" w:rsidR="00E2481B" w:rsidRDefault="00E2481B" w:rsidP="00E2481B">
      <w:pPr>
        <w:shd w:val="clear" w:color="auto" w:fill="FFFFFF"/>
        <w:spacing w:before="120" w:after="0" w:line="240" w:lineRule="auto"/>
        <w:ind w:right="431" w:firstLine="606"/>
        <w:jc w:val="both"/>
        <w:rPr>
          <w:rFonts w:ascii="Arial" w:hAnsi="Arial" w:cs="Arial"/>
          <w:sz w:val="24"/>
          <w:szCs w:val="24"/>
        </w:rPr>
      </w:pPr>
      <w:r>
        <w:rPr>
          <w:rFonts w:ascii="Arial" w:hAnsi="Arial" w:cs="Arial"/>
          <w:sz w:val="24"/>
          <w:szCs w:val="24"/>
        </w:rPr>
        <w:t xml:space="preserve">a.1. </w:t>
      </w:r>
      <w:r w:rsidRPr="00694C9C">
        <w:rPr>
          <w:rFonts w:ascii="Arial" w:hAnsi="Arial" w:cs="Arial"/>
          <w:b/>
          <w:bCs/>
          <w:sz w:val="24"/>
          <w:szCs w:val="24"/>
        </w:rPr>
        <w:t>Sesión número 01-20 CNF:</w:t>
      </w:r>
      <w:r>
        <w:rPr>
          <w:rFonts w:ascii="Arial" w:hAnsi="Arial" w:cs="Arial"/>
          <w:sz w:val="24"/>
          <w:szCs w:val="24"/>
        </w:rPr>
        <w:t xml:space="preserve"> </w:t>
      </w:r>
    </w:p>
    <w:p w14:paraId="106491F9" w14:textId="77777777" w:rsidR="00E2481B" w:rsidRDefault="00E2481B" w:rsidP="00E2481B">
      <w:pPr>
        <w:shd w:val="clear" w:color="auto" w:fill="FFFFFF"/>
        <w:spacing w:before="120" w:after="0" w:line="240" w:lineRule="auto"/>
        <w:ind w:right="431" w:firstLine="606"/>
        <w:jc w:val="both"/>
        <w:rPr>
          <w:rFonts w:ascii="Arial" w:hAnsi="Arial" w:cs="Arial"/>
          <w:sz w:val="24"/>
          <w:szCs w:val="24"/>
        </w:rPr>
      </w:pPr>
    </w:p>
    <w:p w14:paraId="7D40BE31" w14:textId="77777777" w:rsidR="00E2481B" w:rsidRDefault="00E2481B" w:rsidP="00E2481B">
      <w:pPr>
        <w:numPr>
          <w:ilvl w:val="0"/>
          <w:numId w:val="10"/>
        </w:numPr>
        <w:shd w:val="clear" w:color="auto" w:fill="FFFFFF"/>
        <w:spacing w:before="120" w:after="0" w:line="240" w:lineRule="auto"/>
        <w:ind w:right="431"/>
        <w:jc w:val="both"/>
        <w:rPr>
          <w:rFonts w:ascii="Arial" w:hAnsi="Arial" w:cs="Arial"/>
          <w:i/>
          <w:iCs/>
          <w:sz w:val="24"/>
          <w:szCs w:val="24"/>
          <w:bdr w:val="none" w:sz="0" w:space="0" w:color="auto" w:frame="1"/>
          <w:lang w:eastAsia="es-CR"/>
        </w:rPr>
      </w:pPr>
      <w:r>
        <w:rPr>
          <w:rFonts w:ascii="Arial" w:hAnsi="Arial" w:cs="Arial"/>
          <w:sz w:val="24"/>
          <w:szCs w:val="24"/>
        </w:rPr>
        <w:t xml:space="preserve"> </w:t>
      </w:r>
      <w:r>
        <w:rPr>
          <w:rFonts w:ascii="Arial" w:hAnsi="Arial" w:cs="Arial"/>
          <w:sz w:val="24"/>
          <w:szCs w:val="24"/>
          <w:bdr w:val="none" w:sz="0" w:space="0" w:color="auto" w:frame="1"/>
          <w:lang w:eastAsia="es-CR"/>
        </w:rPr>
        <w:t xml:space="preserve">Las observaciones al oficio número 008-CNFLAG, referente a la </w:t>
      </w:r>
      <w:r>
        <w:rPr>
          <w:rFonts w:ascii="Arial" w:hAnsi="Arial" w:cs="Arial"/>
          <w:i/>
          <w:iCs/>
          <w:sz w:val="24"/>
          <w:szCs w:val="24"/>
          <w:bdr w:val="none" w:sz="0" w:space="0" w:color="auto" w:frame="1"/>
          <w:lang w:eastAsia="es-CR"/>
        </w:rPr>
        <w:t xml:space="preserve">“Aclaración sobre cierres colectivos y secciones de Flagrancia.”. </w:t>
      </w:r>
    </w:p>
    <w:p w14:paraId="37CD5B9B" w14:textId="77777777" w:rsidR="00E2481B" w:rsidRDefault="00E2481B" w:rsidP="00E2481B">
      <w:pPr>
        <w:numPr>
          <w:ilvl w:val="0"/>
          <w:numId w:val="10"/>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Informe Anual de Labores del año 2019 de la Sección de Flagrancia del Tribunal de Heredia.</w:t>
      </w:r>
    </w:p>
    <w:p w14:paraId="5C40223F" w14:textId="77777777" w:rsidR="00E2481B" w:rsidRDefault="00E2481B" w:rsidP="00E2481B">
      <w:pPr>
        <w:numPr>
          <w:ilvl w:val="0"/>
          <w:numId w:val="10"/>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Informe de evaluación final del Plan Estratégico Institucional 2013-2018</w:t>
      </w:r>
    </w:p>
    <w:p w14:paraId="236EBC08" w14:textId="77777777" w:rsidR="00E2481B" w:rsidRDefault="00E2481B" w:rsidP="00E2481B">
      <w:pPr>
        <w:numPr>
          <w:ilvl w:val="0"/>
          <w:numId w:val="10"/>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Informe de la Dirección de Planificación en respuesta a consulta de la señora Ligia Arias Alegría, ex jueza de flagrancia.</w:t>
      </w:r>
    </w:p>
    <w:p w14:paraId="6A303D05" w14:textId="77777777" w:rsidR="00E2481B" w:rsidRDefault="00E2481B" w:rsidP="00E2481B">
      <w:pPr>
        <w:numPr>
          <w:ilvl w:val="0"/>
          <w:numId w:val="10"/>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Informe de Rediseño de procesos de la Sección de Flagrancia de Liberia</w:t>
      </w:r>
    </w:p>
    <w:p w14:paraId="57A1D8E8" w14:textId="77777777" w:rsidR="00E2481B" w:rsidRDefault="00E2481B" w:rsidP="00E2481B">
      <w:pPr>
        <w:numPr>
          <w:ilvl w:val="0"/>
          <w:numId w:val="10"/>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Propuesta de mejora del Primer Circuito Judicial de la Zona Atlántica y avance del rediseño del Segundo Circuito Judicial de la Zona Atlántica, los resultados del:</w:t>
      </w:r>
    </w:p>
    <w:p w14:paraId="770B324A" w14:textId="77777777" w:rsidR="00E2481B" w:rsidRDefault="00E2481B" w:rsidP="00E2481B">
      <w:pPr>
        <w:numPr>
          <w:ilvl w:val="0"/>
          <w:numId w:val="11"/>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Juzgado Penal de Limón, Bribrí, Batán, Pococí y Siquirres.</w:t>
      </w:r>
    </w:p>
    <w:p w14:paraId="03954450" w14:textId="77777777" w:rsidR="00E2481B" w:rsidRDefault="00E2481B" w:rsidP="00E2481B">
      <w:pPr>
        <w:numPr>
          <w:ilvl w:val="0"/>
          <w:numId w:val="11"/>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Tribunal Penal de Limón, Pococí y Siquirres.</w:t>
      </w:r>
    </w:p>
    <w:p w14:paraId="106A5542" w14:textId="77777777" w:rsidR="00E2481B" w:rsidRDefault="00E2481B" w:rsidP="00E2481B">
      <w:pPr>
        <w:numPr>
          <w:ilvl w:val="0"/>
          <w:numId w:val="11"/>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Flagrancia de Limón y Pococí.</w:t>
      </w:r>
    </w:p>
    <w:p w14:paraId="5A556E30" w14:textId="77777777" w:rsidR="00E2481B" w:rsidRDefault="00E2481B" w:rsidP="00E2481B">
      <w:pPr>
        <w:numPr>
          <w:ilvl w:val="0"/>
          <w:numId w:val="10"/>
        </w:numPr>
        <w:shd w:val="clear" w:color="auto" w:fill="FFFFFF"/>
        <w:spacing w:before="120" w:after="0" w:line="240" w:lineRule="auto"/>
        <w:ind w:right="431" w:hanging="371"/>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Consulta del Juez Andrés Olsen ante la Comisión de Flagrancia.</w:t>
      </w:r>
    </w:p>
    <w:p w14:paraId="1A70FD88" w14:textId="77777777" w:rsidR="00E2481B" w:rsidRDefault="00E2481B" w:rsidP="00E2481B">
      <w:pPr>
        <w:numPr>
          <w:ilvl w:val="0"/>
          <w:numId w:val="10"/>
        </w:numPr>
        <w:shd w:val="clear" w:color="auto" w:fill="FFFFFF"/>
        <w:spacing w:before="120" w:after="0" w:line="240" w:lineRule="auto"/>
        <w:ind w:right="431" w:hanging="357"/>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lastRenderedPageBreak/>
        <w:t xml:space="preserve">Análisis de planteamiento presentado por la señora Fiscala General ante la Comisión sobre la audiencia de competencia inicial. </w:t>
      </w:r>
    </w:p>
    <w:p w14:paraId="7BBB18EE" w14:textId="77777777" w:rsidR="00E2481B" w:rsidRDefault="00E2481B" w:rsidP="00E2481B">
      <w:pPr>
        <w:spacing w:line="240" w:lineRule="auto"/>
        <w:jc w:val="both"/>
        <w:rPr>
          <w:rFonts w:ascii="Arial" w:hAnsi="Arial" w:cs="Arial"/>
          <w:sz w:val="24"/>
          <w:szCs w:val="24"/>
        </w:rPr>
      </w:pPr>
    </w:p>
    <w:p w14:paraId="53B84A16" w14:textId="77777777" w:rsidR="00E2481B" w:rsidRPr="00694C9C" w:rsidRDefault="00E2481B" w:rsidP="00E2481B">
      <w:pPr>
        <w:spacing w:line="240" w:lineRule="auto"/>
        <w:ind w:left="567"/>
        <w:jc w:val="both"/>
        <w:rPr>
          <w:rFonts w:ascii="Arial" w:hAnsi="Arial" w:cs="Arial"/>
          <w:b/>
          <w:bCs/>
          <w:sz w:val="24"/>
          <w:szCs w:val="24"/>
        </w:rPr>
      </w:pPr>
      <w:r w:rsidRPr="00694C9C">
        <w:rPr>
          <w:rFonts w:ascii="Arial" w:hAnsi="Arial" w:cs="Arial"/>
          <w:b/>
          <w:bCs/>
          <w:sz w:val="24"/>
          <w:szCs w:val="24"/>
        </w:rPr>
        <w:t>a.2. Sesión número 02-20 CNF:</w:t>
      </w:r>
    </w:p>
    <w:p w14:paraId="5FFF0FEC" w14:textId="77777777" w:rsidR="00E2481B" w:rsidRDefault="00E2481B" w:rsidP="00E2481B">
      <w:pPr>
        <w:spacing w:line="240" w:lineRule="auto"/>
        <w:ind w:left="567"/>
        <w:jc w:val="both"/>
        <w:rPr>
          <w:rFonts w:ascii="Arial" w:hAnsi="Arial" w:cs="Arial"/>
          <w:sz w:val="24"/>
          <w:szCs w:val="24"/>
        </w:rPr>
      </w:pPr>
    </w:p>
    <w:p w14:paraId="5712BA15" w14:textId="77777777" w:rsidR="00E2481B" w:rsidRPr="00631FE7" w:rsidRDefault="00E2481B" w:rsidP="00E2481B">
      <w:pPr>
        <w:numPr>
          <w:ilvl w:val="0"/>
          <w:numId w:val="12"/>
        </w:numPr>
        <w:shd w:val="clear" w:color="auto" w:fill="FFFFFF"/>
        <w:spacing w:before="120" w:after="0" w:line="240" w:lineRule="auto"/>
        <w:ind w:right="431" w:hanging="357"/>
        <w:jc w:val="both"/>
        <w:rPr>
          <w:rFonts w:ascii="Arial" w:hAnsi="Arial" w:cs="Arial"/>
          <w:sz w:val="24"/>
          <w:szCs w:val="24"/>
        </w:rPr>
      </w:pPr>
      <w:r>
        <w:rPr>
          <w:rFonts w:ascii="Arial" w:hAnsi="Arial" w:cs="Arial"/>
          <w:sz w:val="24"/>
          <w:szCs w:val="24"/>
          <w:bdr w:val="none" w:sz="0" w:space="0" w:color="auto" w:frame="1"/>
          <w:lang w:eastAsia="es-CR"/>
        </w:rPr>
        <w:t xml:space="preserve">Resultados de la reunión con la coordinación de la Sección de Flagrancia del Primer Circuito Judicial de la Zona Atlántica, Limón. Así como informar sobre el acuerdo VIII adoptado en la sesión 01-20. </w:t>
      </w:r>
    </w:p>
    <w:p w14:paraId="0479A04F" w14:textId="77777777" w:rsidR="00E2481B" w:rsidRDefault="00E2481B" w:rsidP="00E2481B">
      <w:pPr>
        <w:numPr>
          <w:ilvl w:val="0"/>
          <w:numId w:val="12"/>
        </w:numPr>
        <w:shd w:val="clear" w:color="auto" w:fill="FFFFFF"/>
        <w:spacing w:before="120" w:after="0" w:line="240" w:lineRule="auto"/>
        <w:ind w:right="431" w:hanging="357"/>
        <w:jc w:val="both"/>
        <w:rPr>
          <w:rFonts w:ascii="Arial" w:hAnsi="Arial" w:cs="Arial"/>
          <w:sz w:val="24"/>
          <w:szCs w:val="24"/>
        </w:rPr>
      </w:pPr>
      <w:r>
        <w:rPr>
          <w:rFonts w:ascii="Arial" w:hAnsi="Arial" w:cs="Arial"/>
          <w:sz w:val="24"/>
          <w:szCs w:val="24"/>
          <w:bdr w:val="none" w:sz="0" w:space="0" w:color="auto" w:frame="1"/>
          <w:lang w:eastAsia="es-CR"/>
        </w:rPr>
        <w:t xml:space="preserve">Manual y Guía del procedimiento de </w:t>
      </w:r>
      <w:proofErr w:type="spellStart"/>
      <w:r>
        <w:rPr>
          <w:rFonts w:ascii="Arial" w:hAnsi="Arial" w:cs="Arial"/>
          <w:sz w:val="24"/>
          <w:szCs w:val="24"/>
          <w:bdr w:val="none" w:sz="0" w:space="0" w:color="auto" w:frame="1"/>
          <w:lang w:eastAsia="es-CR"/>
        </w:rPr>
        <w:t>de</w:t>
      </w:r>
      <w:proofErr w:type="spellEnd"/>
      <w:r>
        <w:rPr>
          <w:rFonts w:ascii="Arial" w:hAnsi="Arial" w:cs="Arial"/>
          <w:sz w:val="24"/>
          <w:szCs w:val="24"/>
          <w:bdr w:val="none" w:sz="0" w:space="0" w:color="auto" w:frame="1"/>
          <w:lang w:eastAsia="es-CR"/>
        </w:rPr>
        <w:t xml:space="preserve"> Flagrancia. Documentos revisados por el área de filología de la Escuela Judicial y observaciones realizadas por el Centro de Justicia Restaurativa. </w:t>
      </w:r>
    </w:p>
    <w:p w14:paraId="4907A0A9" w14:textId="77777777" w:rsidR="00E2481B" w:rsidRDefault="00E2481B" w:rsidP="00E2481B">
      <w:pPr>
        <w:numPr>
          <w:ilvl w:val="0"/>
          <w:numId w:val="12"/>
        </w:numPr>
        <w:shd w:val="clear" w:color="auto" w:fill="FFFFFF"/>
        <w:spacing w:before="120" w:after="0" w:line="240" w:lineRule="auto"/>
        <w:ind w:right="431" w:hanging="357"/>
        <w:jc w:val="both"/>
        <w:rPr>
          <w:rFonts w:ascii="Arial" w:hAnsi="Arial" w:cs="Arial"/>
          <w:sz w:val="24"/>
          <w:szCs w:val="24"/>
        </w:rPr>
      </w:pPr>
      <w:r w:rsidRPr="00694C9C">
        <w:rPr>
          <w:rFonts w:ascii="Arial" w:hAnsi="Arial" w:cs="Arial"/>
          <w:sz w:val="24"/>
          <w:szCs w:val="24"/>
        </w:rPr>
        <w:t xml:space="preserve">Situación del Turno Vespertino de Flagrancia de Heredia. </w:t>
      </w:r>
    </w:p>
    <w:p w14:paraId="44AB4272" w14:textId="77777777" w:rsidR="00E2481B" w:rsidRDefault="00E2481B" w:rsidP="00E2481B">
      <w:pPr>
        <w:shd w:val="clear" w:color="auto" w:fill="FFFFFF"/>
        <w:spacing w:before="120" w:after="0" w:line="240" w:lineRule="auto"/>
        <w:ind w:left="1080" w:right="431"/>
        <w:jc w:val="both"/>
        <w:rPr>
          <w:rFonts w:ascii="Arial" w:hAnsi="Arial" w:cs="Arial"/>
          <w:sz w:val="24"/>
          <w:szCs w:val="24"/>
        </w:rPr>
      </w:pPr>
    </w:p>
    <w:p w14:paraId="7920DB17" w14:textId="77777777" w:rsidR="00E2481B" w:rsidRPr="00694C9C" w:rsidRDefault="00E2481B" w:rsidP="00E2481B">
      <w:pPr>
        <w:shd w:val="clear" w:color="auto" w:fill="FFFFFF"/>
        <w:spacing w:before="120" w:after="0" w:line="240" w:lineRule="auto"/>
        <w:ind w:left="1080" w:right="431"/>
        <w:jc w:val="both"/>
        <w:rPr>
          <w:rFonts w:ascii="Arial" w:hAnsi="Arial" w:cs="Arial"/>
          <w:sz w:val="24"/>
          <w:szCs w:val="24"/>
        </w:rPr>
      </w:pPr>
    </w:p>
    <w:p w14:paraId="7C81ECB9" w14:textId="77777777" w:rsidR="00E2481B" w:rsidRPr="00694C9C" w:rsidRDefault="00E2481B" w:rsidP="00E2481B">
      <w:pPr>
        <w:shd w:val="clear" w:color="auto" w:fill="FFFFFF"/>
        <w:spacing w:before="120" w:after="0" w:line="240" w:lineRule="auto"/>
        <w:ind w:left="567" w:right="431"/>
        <w:jc w:val="both"/>
        <w:rPr>
          <w:rFonts w:ascii="Arial" w:hAnsi="Arial" w:cs="Arial"/>
          <w:b/>
          <w:bCs/>
          <w:sz w:val="24"/>
          <w:szCs w:val="24"/>
        </w:rPr>
      </w:pPr>
      <w:r w:rsidRPr="00694C9C">
        <w:rPr>
          <w:rFonts w:ascii="Arial" w:hAnsi="Arial" w:cs="Arial"/>
          <w:b/>
          <w:bCs/>
          <w:sz w:val="24"/>
          <w:szCs w:val="24"/>
        </w:rPr>
        <w:t xml:space="preserve">a.3. Sesión número 03-20 CNF: </w:t>
      </w:r>
    </w:p>
    <w:p w14:paraId="1F6380A7" w14:textId="77777777" w:rsidR="00E2481B" w:rsidRDefault="00E2481B" w:rsidP="00E2481B">
      <w:pPr>
        <w:shd w:val="clear" w:color="auto" w:fill="FFFFFF"/>
        <w:spacing w:before="120" w:after="0" w:line="240" w:lineRule="auto"/>
        <w:ind w:left="567" w:right="431"/>
        <w:jc w:val="both"/>
        <w:rPr>
          <w:rFonts w:ascii="Arial" w:hAnsi="Arial" w:cs="Arial"/>
          <w:sz w:val="24"/>
          <w:szCs w:val="24"/>
        </w:rPr>
      </w:pPr>
    </w:p>
    <w:p w14:paraId="474B3B7E" w14:textId="77777777" w:rsidR="00E2481B" w:rsidRPr="000B16AA" w:rsidRDefault="00E2481B" w:rsidP="00E2481B">
      <w:pPr>
        <w:pStyle w:val="xmsonormal"/>
        <w:numPr>
          <w:ilvl w:val="0"/>
          <w:numId w:val="13"/>
        </w:numPr>
        <w:shd w:val="clear" w:color="auto" w:fill="FFFFFF"/>
        <w:spacing w:before="120" w:beforeAutospacing="0" w:after="0" w:afterAutospacing="0"/>
        <w:ind w:right="431"/>
        <w:jc w:val="both"/>
        <w:rPr>
          <w:rFonts w:ascii="Arial" w:hAnsi="Arial" w:cs="Arial"/>
        </w:rPr>
      </w:pPr>
      <w:r w:rsidRPr="000B16AA">
        <w:rPr>
          <w:rFonts w:ascii="Arial" w:hAnsi="Arial" w:cs="Arial"/>
          <w:bdr w:val="none" w:sz="0" w:space="0" w:color="auto" w:frame="1"/>
        </w:rPr>
        <w:t>Propuesta de rediseño del Tribunal de Flagrancia de Limón. La Dirección de Planificación informa que el Tribunal Penal de Limón es el despacho que tiene más circulante de causas penales a nivel nacional.</w:t>
      </w:r>
    </w:p>
    <w:p w14:paraId="2C362CC9" w14:textId="77777777" w:rsidR="00E2481B" w:rsidRPr="000B16AA" w:rsidRDefault="00E2481B" w:rsidP="00E2481B">
      <w:pPr>
        <w:pStyle w:val="xmsonormal"/>
        <w:numPr>
          <w:ilvl w:val="0"/>
          <w:numId w:val="13"/>
        </w:numPr>
        <w:shd w:val="clear" w:color="auto" w:fill="FFFFFF"/>
        <w:spacing w:before="120" w:beforeAutospacing="0" w:after="0" w:afterAutospacing="0"/>
        <w:ind w:right="431"/>
        <w:jc w:val="both"/>
        <w:rPr>
          <w:rFonts w:ascii="Arial" w:hAnsi="Arial" w:cs="Arial"/>
        </w:rPr>
      </w:pPr>
      <w:r w:rsidRPr="000B16AA">
        <w:rPr>
          <w:rFonts w:ascii="Arial" w:hAnsi="Arial" w:cs="Arial"/>
          <w:bdr w:val="none" w:sz="0" w:space="0" w:color="auto" w:frame="1"/>
        </w:rPr>
        <w:t>En el informe de la Dirección de Planificación 1061-PLA-OI-2020,</w:t>
      </w:r>
      <w:r>
        <w:rPr>
          <w:rStyle w:val="Refdenotaalpie"/>
          <w:rFonts w:ascii="Arial" w:hAnsi="Arial" w:cs="Arial"/>
          <w:bdr w:val="none" w:sz="0" w:space="0" w:color="auto" w:frame="1"/>
        </w:rPr>
        <w:footnoteReference w:id="5"/>
      </w:r>
      <w:r w:rsidRPr="000B16AA">
        <w:rPr>
          <w:rFonts w:ascii="Arial" w:hAnsi="Arial" w:cs="Arial"/>
          <w:bdr w:val="none" w:sz="0" w:space="0" w:color="auto" w:frame="1"/>
        </w:rPr>
        <w:t xml:space="preserve"> se indica que, en virtud de las características de la zona, el horario vespertino no favorece el desempeño eficiente de las funciones judiciales. </w:t>
      </w:r>
    </w:p>
    <w:p w14:paraId="3560F6F5" w14:textId="77777777" w:rsidR="00E2481B" w:rsidRDefault="00E2481B" w:rsidP="00E2481B">
      <w:pPr>
        <w:pStyle w:val="xmsonormal"/>
        <w:shd w:val="clear" w:color="auto" w:fill="FFFFFF"/>
        <w:spacing w:before="120" w:beforeAutospacing="0" w:after="0" w:afterAutospacing="0"/>
        <w:ind w:left="1080" w:right="431"/>
        <w:jc w:val="both"/>
        <w:rPr>
          <w:rFonts w:ascii="Arial" w:hAnsi="Arial" w:cs="Arial"/>
        </w:rPr>
      </w:pPr>
      <w:r>
        <w:rPr>
          <w:rFonts w:ascii="Arial" w:hAnsi="Arial" w:cs="Arial"/>
          <w:bdr w:val="none" w:sz="0" w:space="0" w:color="auto" w:frame="1"/>
        </w:rPr>
        <w:t xml:space="preserve">Informe </w:t>
      </w:r>
    </w:p>
    <w:p w14:paraId="63EEE9F9" w14:textId="77777777" w:rsidR="00E2481B" w:rsidRPr="000B16AA" w:rsidRDefault="00E2481B" w:rsidP="00E2481B">
      <w:pPr>
        <w:numPr>
          <w:ilvl w:val="0"/>
          <w:numId w:val="13"/>
        </w:numPr>
        <w:shd w:val="clear" w:color="auto" w:fill="FFFFFF"/>
        <w:spacing w:before="120" w:after="0" w:line="240" w:lineRule="auto"/>
        <w:ind w:right="431"/>
        <w:jc w:val="both"/>
        <w:rPr>
          <w:rFonts w:ascii="Arial" w:hAnsi="Arial" w:cs="Arial"/>
          <w:i/>
          <w:iCs/>
          <w:sz w:val="24"/>
          <w:szCs w:val="24"/>
        </w:rPr>
      </w:pPr>
      <w:r w:rsidRPr="000B16AA">
        <w:rPr>
          <w:rFonts w:ascii="Arial" w:hAnsi="Arial" w:cs="Arial"/>
          <w:sz w:val="24"/>
          <w:szCs w:val="24"/>
          <w:bdr w:val="none" w:sz="0" w:space="0" w:color="auto" w:frame="1"/>
          <w:lang w:eastAsia="es-CR"/>
        </w:rPr>
        <w:t>Propuesta de trabajo de las personas juzgadoras del Tribunal de Flagrancia de Limón, quienes</w:t>
      </w:r>
      <w:r>
        <w:rPr>
          <w:rFonts w:ascii="Arial" w:hAnsi="Arial" w:cs="Arial"/>
          <w:sz w:val="24"/>
          <w:szCs w:val="24"/>
          <w:bdr w:val="none" w:sz="0" w:space="0" w:color="auto" w:frame="1"/>
          <w:lang w:eastAsia="es-CR"/>
        </w:rPr>
        <w:t xml:space="preserve">, en lo conducente, </w:t>
      </w:r>
      <w:r w:rsidRPr="000B16AA">
        <w:rPr>
          <w:rFonts w:ascii="Arial" w:hAnsi="Arial" w:cs="Arial"/>
          <w:sz w:val="24"/>
          <w:szCs w:val="24"/>
          <w:bdr w:val="none" w:sz="0" w:space="0" w:color="auto" w:frame="1"/>
          <w:lang w:eastAsia="es-CR"/>
        </w:rPr>
        <w:t xml:space="preserve"> proponen “</w:t>
      </w:r>
      <w:r w:rsidRPr="000B16AA">
        <w:rPr>
          <w:rFonts w:ascii="Arial" w:hAnsi="Arial" w:cs="Arial"/>
          <w:b/>
          <w:bCs/>
          <w:i/>
          <w:iCs/>
          <w:sz w:val="24"/>
          <w:szCs w:val="24"/>
        </w:rPr>
        <w:t>a)</w:t>
      </w:r>
      <w:r w:rsidRPr="000B16AA">
        <w:rPr>
          <w:rFonts w:ascii="Arial" w:hAnsi="Arial" w:cs="Arial"/>
          <w:i/>
          <w:iCs/>
          <w:sz w:val="24"/>
          <w:szCs w:val="24"/>
        </w:rPr>
        <w:t xml:space="preserve"> La realización de al menos -10- juicios unipersonales, por semana, que corresponden al Tribunal Penal de Limón, (ordinario) con la participación de un juez de la sección de Flagrancia, en el horario de las 07:00 a las 11:30 horas y de 13:00 horas a las 16:30 horas; </w:t>
      </w:r>
      <w:r w:rsidRPr="000B16AA">
        <w:rPr>
          <w:rFonts w:ascii="Arial" w:hAnsi="Arial" w:cs="Arial"/>
          <w:b/>
          <w:bCs/>
          <w:i/>
          <w:iCs/>
          <w:sz w:val="24"/>
          <w:szCs w:val="24"/>
        </w:rPr>
        <w:t xml:space="preserve">b) </w:t>
      </w:r>
      <w:r w:rsidRPr="000B16AA">
        <w:rPr>
          <w:rFonts w:ascii="Arial" w:hAnsi="Arial" w:cs="Arial"/>
          <w:i/>
          <w:iCs/>
          <w:sz w:val="24"/>
          <w:szCs w:val="24"/>
        </w:rPr>
        <w:t xml:space="preserve">Los dos jueces restantes estarían en el horario de las 17:00 a las 23:00 horas, realizando juicios unipersonales, propios de la sección de Flagrancia; </w:t>
      </w:r>
      <w:r w:rsidRPr="000B16AA">
        <w:rPr>
          <w:rFonts w:ascii="Arial" w:hAnsi="Arial" w:cs="Arial"/>
          <w:b/>
          <w:bCs/>
          <w:i/>
          <w:iCs/>
          <w:sz w:val="24"/>
          <w:szCs w:val="24"/>
        </w:rPr>
        <w:t xml:space="preserve">c) </w:t>
      </w:r>
      <w:r w:rsidRPr="000B16AA">
        <w:rPr>
          <w:rFonts w:ascii="Arial" w:hAnsi="Arial" w:cs="Arial"/>
          <w:i/>
          <w:iCs/>
          <w:sz w:val="24"/>
          <w:szCs w:val="24"/>
        </w:rPr>
        <w:t xml:space="preserve">Solicitaríamos a la Administración de los Tribunales de Limón, sea asignado un técnico supernumerario, que nos asista en los juicios a partir del 3 de agosto. En </w:t>
      </w:r>
      <w:r w:rsidRPr="000B16AA">
        <w:rPr>
          <w:rFonts w:ascii="Arial" w:hAnsi="Arial" w:cs="Arial"/>
          <w:i/>
          <w:iCs/>
          <w:sz w:val="24"/>
          <w:szCs w:val="24"/>
        </w:rPr>
        <w:lastRenderedPageBreak/>
        <w:t>virtud de lo anterior, solicitamos su aprobación, para iniciar este proyecto de reducción del circulante del Tribunal Penal ordinario de Limón.”</w:t>
      </w:r>
    </w:p>
    <w:p w14:paraId="5F92CE8C" w14:textId="77777777" w:rsidR="00E2481B" w:rsidRPr="000B16AA" w:rsidRDefault="00E2481B" w:rsidP="00E2481B">
      <w:pPr>
        <w:numPr>
          <w:ilvl w:val="0"/>
          <w:numId w:val="13"/>
        </w:numPr>
        <w:shd w:val="clear" w:color="auto" w:fill="FFFFFF"/>
        <w:spacing w:before="120" w:after="0" w:line="240" w:lineRule="auto"/>
        <w:ind w:right="431"/>
        <w:jc w:val="both"/>
        <w:rPr>
          <w:rFonts w:ascii="Arial" w:hAnsi="Arial" w:cs="Arial"/>
          <w:sz w:val="24"/>
          <w:szCs w:val="24"/>
        </w:rPr>
      </w:pPr>
      <w:r w:rsidRPr="000B16AA">
        <w:rPr>
          <w:rFonts w:ascii="Arial" w:hAnsi="Arial" w:cs="Arial"/>
          <w:sz w:val="24"/>
          <w:szCs w:val="24"/>
          <w:bdr w:val="none" w:sz="0" w:space="0" w:color="auto" w:frame="1"/>
          <w:lang w:eastAsia="es-CR"/>
        </w:rPr>
        <w:t>El c</w:t>
      </w:r>
      <w:r w:rsidRPr="000B16AA">
        <w:rPr>
          <w:rFonts w:ascii="Arial" w:hAnsi="Arial" w:cs="Arial"/>
          <w:sz w:val="24"/>
          <w:szCs w:val="24"/>
        </w:rPr>
        <w:t xml:space="preserve">riterio DJ-C-266-2020 de la Dirección Jurídica sobre la posibilidad de variar jornada laboral y agregar funciones a las personas juzgadoras de los Tribunales de Flagrancia del país, sin que ello implique un </w:t>
      </w:r>
      <w:r w:rsidRPr="000B16AA">
        <w:rPr>
          <w:rFonts w:ascii="Arial" w:hAnsi="Arial" w:cs="Arial"/>
          <w:i/>
          <w:iCs/>
          <w:sz w:val="24"/>
          <w:szCs w:val="24"/>
        </w:rPr>
        <w:t>ius variandi</w:t>
      </w:r>
      <w:r w:rsidRPr="000B16AA">
        <w:rPr>
          <w:rFonts w:ascii="Arial" w:hAnsi="Arial" w:cs="Arial"/>
          <w:sz w:val="24"/>
          <w:szCs w:val="24"/>
        </w:rPr>
        <w:t xml:space="preserve"> abusivo, y cuya conclusión determinó que: “</w:t>
      </w:r>
      <w:r w:rsidRPr="000B16AA">
        <w:rPr>
          <w:rFonts w:ascii="Arial" w:hAnsi="Arial" w:cs="Arial"/>
          <w:i/>
          <w:iCs/>
          <w:sz w:val="24"/>
          <w:szCs w:val="24"/>
        </w:rPr>
        <w:t>el cambio de jornada sí representaría un ius variandi abusivo si no se fundamenta en criterios objetivos y si es que de forma previa los funcionarios no aceptaron esa condición cuando fueron nombrados. Lo cual no significa que pueda iniciarse algún proceso de reestructuración o reorganización con el cese de la relación laboral con responsabilidad patronal, de estimarse irremediablemente necesaria la reorganización o reestructuración, ante la posibilidad de que no exista materialmente ninguna otra forma de ofrecer un mejor servicio público más que la modificación de la jornada. En lo que atañe a la asignación de funciones ordinarias de otros procedimientos penales distintos a los de flagrancia, esto no constituye un ejercicio abusivo del ius variandi, siempre y cuando dichas funciones no impliquen una degradación del puesto, lo cual no se considera así, ya que los cargos de juez 4 penal en flagrancia y otros tribunales penales configuran un mismo perfil competencial</w:t>
      </w:r>
      <w:r w:rsidRPr="000B16AA">
        <w:rPr>
          <w:rFonts w:ascii="Arial" w:hAnsi="Arial" w:cs="Arial"/>
          <w:sz w:val="24"/>
          <w:szCs w:val="24"/>
        </w:rPr>
        <w:t>.</w:t>
      </w:r>
      <w:r>
        <w:rPr>
          <w:rFonts w:ascii="Arial" w:hAnsi="Arial" w:cs="Arial"/>
          <w:sz w:val="24"/>
          <w:szCs w:val="24"/>
        </w:rPr>
        <w:t>”</w:t>
      </w:r>
    </w:p>
    <w:p w14:paraId="1E0AA994" w14:textId="77777777" w:rsidR="00E2481B" w:rsidRDefault="00E2481B" w:rsidP="00E2481B">
      <w:pPr>
        <w:numPr>
          <w:ilvl w:val="0"/>
          <w:numId w:val="13"/>
        </w:numPr>
        <w:shd w:val="clear" w:color="auto" w:fill="FFFFFF"/>
        <w:spacing w:before="120" w:after="0" w:line="240" w:lineRule="auto"/>
        <w:ind w:right="431"/>
        <w:jc w:val="both"/>
        <w:rPr>
          <w:rFonts w:ascii="Arial" w:hAnsi="Arial" w:cs="Arial"/>
          <w:sz w:val="24"/>
          <w:szCs w:val="24"/>
        </w:rPr>
      </w:pPr>
      <w:r>
        <w:rPr>
          <w:rFonts w:ascii="Arial" w:hAnsi="Arial" w:cs="Arial"/>
          <w:sz w:val="24"/>
          <w:szCs w:val="24"/>
          <w:bdr w:val="none" w:sz="0" w:space="0" w:color="auto" w:frame="1"/>
          <w:lang w:eastAsia="es-CR"/>
        </w:rPr>
        <w:t>Revisión del documento borrador de Manual y Guía sobre funcionamiento de Flagrancia. Documentos revisados por el área de filología de la Escuela Judicial.</w:t>
      </w:r>
    </w:p>
    <w:p w14:paraId="1A1848A4" w14:textId="77777777" w:rsidR="00E2481B" w:rsidRDefault="00E2481B" w:rsidP="00E2481B">
      <w:pPr>
        <w:shd w:val="clear" w:color="auto" w:fill="FFFFFF"/>
        <w:spacing w:before="120" w:after="0" w:line="240" w:lineRule="auto"/>
        <w:ind w:left="1080" w:right="431"/>
        <w:jc w:val="both"/>
        <w:rPr>
          <w:rFonts w:ascii="Arial" w:hAnsi="Arial" w:cs="Arial"/>
          <w:sz w:val="24"/>
          <w:szCs w:val="24"/>
        </w:rPr>
      </w:pPr>
    </w:p>
    <w:p w14:paraId="30A7860F" w14:textId="77777777" w:rsidR="00E2481B" w:rsidRDefault="00E2481B" w:rsidP="00E2481B">
      <w:pPr>
        <w:numPr>
          <w:ilvl w:val="0"/>
          <w:numId w:val="13"/>
        </w:numPr>
        <w:shd w:val="clear" w:color="auto" w:fill="FFFFFF"/>
        <w:spacing w:before="120" w:after="0" w:line="240" w:lineRule="auto"/>
        <w:ind w:right="431"/>
        <w:jc w:val="both"/>
        <w:rPr>
          <w:rFonts w:ascii="Arial" w:hAnsi="Arial" w:cs="Arial"/>
          <w:sz w:val="24"/>
          <w:szCs w:val="24"/>
        </w:rPr>
      </w:pPr>
      <w:r>
        <w:rPr>
          <w:rFonts w:ascii="Arial" w:hAnsi="Arial" w:cs="Arial"/>
          <w:sz w:val="24"/>
          <w:szCs w:val="24"/>
          <w:bdr w:val="none" w:sz="0" w:space="0" w:color="auto" w:frame="1"/>
          <w:lang w:eastAsia="es-CR"/>
        </w:rPr>
        <w:t>Observaciones y propuesta de modificación, realizadas por el Centro de Justicia Restaurativa y la Defensa Pública, al documento borrador de Manual y Guía sobre funcionamiento de Flagrancia.</w:t>
      </w:r>
    </w:p>
    <w:p w14:paraId="25CEB60F" w14:textId="77777777" w:rsidR="00E2481B" w:rsidRDefault="00E2481B" w:rsidP="00E2481B">
      <w:pPr>
        <w:shd w:val="clear" w:color="auto" w:fill="FFFFFF"/>
        <w:spacing w:before="120" w:after="0" w:line="240" w:lineRule="auto"/>
        <w:ind w:left="1080" w:right="431"/>
        <w:jc w:val="both"/>
        <w:rPr>
          <w:rFonts w:ascii="Arial" w:hAnsi="Arial" w:cs="Arial"/>
          <w:sz w:val="24"/>
          <w:szCs w:val="24"/>
        </w:rPr>
      </w:pPr>
    </w:p>
    <w:p w14:paraId="062B114E" w14:textId="77777777" w:rsidR="00E2481B" w:rsidRDefault="00E2481B" w:rsidP="00E2481B">
      <w:pPr>
        <w:numPr>
          <w:ilvl w:val="0"/>
          <w:numId w:val="13"/>
        </w:numPr>
        <w:shd w:val="clear" w:color="auto" w:fill="FFFFFF"/>
        <w:spacing w:before="120" w:after="0" w:line="240" w:lineRule="auto"/>
        <w:ind w:right="431"/>
        <w:jc w:val="both"/>
        <w:rPr>
          <w:rFonts w:ascii="Arial" w:hAnsi="Arial" w:cs="Arial"/>
          <w:sz w:val="24"/>
          <w:szCs w:val="24"/>
          <w:bdr w:val="none" w:sz="0" w:space="0" w:color="auto" w:frame="1"/>
          <w:lang w:eastAsia="es-CR"/>
        </w:rPr>
      </w:pPr>
      <w:r>
        <w:rPr>
          <w:rFonts w:ascii="Arial" w:hAnsi="Arial" w:cs="Arial"/>
          <w:sz w:val="24"/>
          <w:szCs w:val="24"/>
          <w:bdr w:val="none" w:sz="0" w:space="0" w:color="auto" w:frame="1"/>
          <w:lang w:eastAsia="es-CR"/>
        </w:rPr>
        <w:t>Aprobación de la Embajada de Estados Unidos de Presupuesto para incluir asuntos de flagrancia en el programa de Justicia Restaurativa.</w:t>
      </w:r>
    </w:p>
    <w:p w14:paraId="3D438520" w14:textId="77777777" w:rsidR="00E2481B" w:rsidRPr="00631FE7" w:rsidRDefault="00E2481B" w:rsidP="00E2481B">
      <w:pPr>
        <w:shd w:val="clear" w:color="auto" w:fill="FFFFFF"/>
        <w:spacing w:before="120" w:after="0" w:line="240" w:lineRule="auto"/>
        <w:ind w:left="1080" w:right="431"/>
        <w:jc w:val="both"/>
        <w:rPr>
          <w:rFonts w:ascii="Arial" w:hAnsi="Arial" w:cs="Arial"/>
          <w:sz w:val="24"/>
          <w:szCs w:val="24"/>
          <w:bdr w:val="none" w:sz="0" w:space="0" w:color="auto" w:frame="1"/>
          <w:lang w:eastAsia="es-CR"/>
        </w:rPr>
      </w:pPr>
    </w:p>
    <w:p w14:paraId="6256E168" w14:textId="77777777" w:rsidR="00E2481B" w:rsidRDefault="00E2481B" w:rsidP="00E2481B">
      <w:pPr>
        <w:shd w:val="clear" w:color="auto" w:fill="FFFFFF"/>
        <w:spacing w:before="120" w:after="0" w:line="240" w:lineRule="auto"/>
        <w:ind w:left="567" w:right="431"/>
        <w:jc w:val="both"/>
        <w:rPr>
          <w:rFonts w:ascii="Arial" w:hAnsi="Arial" w:cs="Arial"/>
          <w:sz w:val="24"/>
          <w:szCs w:val="24"/>
        </w:rPr>
      </w:pPr>
      <w:r w:rsidRPr="00C36A65">
        <w:rPr>
          <w:rFonts w:ascii="Arial" w:hAnsi="Arial" w:cs="Arial"/>
          <w:b/>
          <w:bCs/>
          <w:sz w:val="24"/>
          <w:szCs w:val="24"/>
        </w:rPr>
        <w:t>a.4. Sesión número 04-2020 CNF</w:t>
      </w:r>
      <w:r>
        <w:rPr>
          <w:rFonts w:ascii="Arial" w:hAnsi="Arial" w:cs="Arial"/>
          <w:sz w:val="24"/>
          <w:szCs w:val="24"/>
        </w:rPr>
        <w:t>:</w:t>
      </w:r>
    </w:p>
    <w:p w14:paraId="3A12493E" w14:textId="77777777" w:rsidR="00E2481B" w:rsidRDefault="00E2481B" w:rsidP="00E2481B">
      <w:pPr>
        <w:shd w:val="clear" w:color="auto" w:fill="FFFFFF"/>
        <w:spacing w:before="120" w:after="0" w:line="240" w:lineRule="auto"/>
        <w:ind w:left="567" w:right="431"/>
        <w:jc w:val="both"/>
        <w:rPr>
          <w:rFonts w:ascii="Arial" w:hAnsi="Arial" w:cs="Arial"/>
          <w:sz w:val="24"/>
          <w:szCs w:val="24"/>
        </w:rPr>
      </w:pPr>
    </w:p>
    <w:p w14:paraId="6A90B007" w14:textId="77777777" w:rsidR="00E2481B" w:rsidRPr="00631FE7" w:rsidRDefault="00E2481B" w:rsidP="00E2481B">
      <w:pPr>
        <w:numPr>
          <w:ilvl w:val="0"/>
          <w:numId w:val="14"/>
        </w:numPr>
        <w:shd w:val="clear" w:color="auto" w:fill="FFFFFF"/>
        <w:spacing w:before="120" w:after="0" w:line="240" w:lineRule="auto"/>
        <w:ind w:right="431"/>
        <w:jc w:val="both"/>
        <w:rPr>
          <w:rFonts w:ascii="Arial" w:hAnsi="Arial" w:cs="Arial"/>
          <w:sz w:val="24"/>
          <w:szCs w:val="24"/>
        </w:rPr>
      </w:pPr>
      <w:r>
        <w:rPr>
          <w:rFonts w:ascii="Arial" w:hAnsi="Arial" w:cs="Arial"/>
          <w:sz w:val="24"/>
          <w:szCs w:val="24"/>
          <w:bdr w:val="none" w:sz="0" w:space="0" w:color="auto" w:frame="1"/>
          <w:lang w:eastAsia="es-CR"/>
        </w:rPr>
        <w:t>Segunda revisión del Manual y la Guía sobre funcionamiento de Flagrancia. Metodología de la Escuela Judicial.</w:t>
      </w:r>
      <w:r w:rsidRPr="00631FE7">
        <w:rPr>
          <w:rFonts w:ascii="Arial" w:hAnsi="Arial" w:cs="Arial"/>
          <w:sz w:val="24"/>
          <w:szCs w:val="24"/>
        </w:rPr>
        <w:t xml:space="preserve">  </w:t>
      </w:r>
    </w:p>
    <w:p w14:paraId="4BBDFAF2" w14:textId="77777777" w:rsidR="00E2481B" w:rsidRDefault="00E2481B" w:rsidP="00E2481B">
      <w:pPr>
        <w:numPr>
          <w:ilvl w:val="0"/>
          <w:numId w:val="14"/>
        </w:numPr>
        <w:shd w:val="clear" w:color="auto" w:fill="FFFFFF"/>
        <w:spacing w:before="120" w:after="0" w:line="240" w:lineRule="auto"/>
        <w:ind w:right="431"/>
        <w:jc w:val="both"/>
        <w:rPr>
          <w:rFonts w:ascii="Arial" w:hAnsi="Arial" w:cs="Arial"/>
          <w:sz w:val="24"/>
          <w:szCs w:val="24"/>
        </w:rPr>
      </w:pPr>
      <w:r>
        <w:rPr>
          <w:rFonts w:ascii="Arial" w:hAnsi="Arial" w:cs="Arial"/>
          <w:sz w:val="24"/>
          <w:szCs w:val="24"/>
          <w:bdr w:val="none" w:sz="0" w:space="0" w:color="auto" w:frame="1"/>
          <w:lang w:eastAsia="es-CR"/>
        </w:rPr>
        <w:t xml:space="preserve">Observaciones y propuestas realizadas al documento por el Ministerio Público, Defensa Pública y Justicia Restaurativa. </w:t>
      </w:r>
      <w:r>
        <w:rPr>
          <w:rFonts w:ascii="Arial" w:hAnsi="Arial" w:cs="Arial"/>
          <w:sz w:val="24"/>
          <w:szCs w:val="24"/>
        </w:rPr>
        <w:t xml:space="preserve">   </w:t>
      </w:r>
    </w:p>
    <w:p w14:paraId="52510029" w14:textId="77777777" w:rsidR="00E2481B" w:rsidRDefault="00E2481B" w:rsidP="00E2481B">
      <w:pPr>
        <w:numPr>
          <w:ilvl w:val="0"/>
          <w:numId w:val="14"/>
        </w:numPr>
        <w:shd w:val="clear" w:color="auto" w:fill="FFFFFF"/>
        <w:spacing w:before="120" w:after="0" w:line="240" w:lineRule="auto"/>
        <w:ind w:right="431"/>
        <w:jc w:val="both"/>
        <w:rPr>
          <w:rFonts w:ascii="Arial" w:hAnsi="Arial" w:cs="Arial"/>
          <w:sz w:val="24"/>
          <w:szCs w:val="24"/>
        </w:rPr>
      </w:pPr>
      <w:r>
        <w:rPr>
          <w:rFonts w:ascii="Arial" w:hAnsi="Arial" w:cs="Arial"/>
          <w:sz w:val="24"/>
          <w:szCs w:val="24"/>
          <w:bdr w:val="none" w:sz="0" w:space="0" w:color="auto" w:frame="1"/>
          <w:lang w:eastAsia="es-CR"/>
        </w:rPr>
        <w:t>La aprobación de la Embajada de Estados Unidos de presupuesto para incluir asuntos de flagrancia en el programa de Justicia Restaurativa.</w:t>
      </w:r>
    </w:p>
    <w:p w14:paraId="08801477" w14:textId="77777777" w:rsidR="00E2481B" w:rsidRDefault="00E2481B" w:rsidP="00E2481B">
      <w:pPr>
        <w:numPr>
          <w:ilvl w:val="0"/>
          <w:numId w:val="14"/>
        </w:numPr>
        <w:shd w:val="clear" w:color="auto" w:fill="FFFFFF"/>
        <w:spacing w:before="120" w:after="0" w:line="240" w:lineRule="auto"/>
        <w:ind w:right="431"/>
        <w:jc w:val="both"/>
        <w:rPr>
          <w:rFonts w:ascii="Arial" w:hAnsi="Arial" w:cs="Arial"/>
          <w:sz w:val="24"/>
          <w:szCs w:val="24"/>
        </w:rPr>
      </w:pPr>
      <w:r>
        <w:rPr>
          <w:rFonts w:ascii="Arial" w:hAnsi="Arial" w:cs="Arial"/>
          <w:sz w:val="24"/>
          <w:szCs w:val="24"/>
        </w:rPr>
        <w:t xml:space="preserve">Atención de consulta de la jueza Mauren Sancho González sobre el funcionamiento del Tribunal de Flagrancia de Heredia. </w:t>
      </w:r>
    </w:p>
    <w:p w14:paraId="349DDE77" w14:textId="77777777" w:rsidR="00E2481B" w:rsidRDefault="00E2481B" w:rsidP="00E2481B">
      <w:pPr>
        <w:numPr>
          <w:ilvl w:val="0"/>
          <w:numId w:val="14"/>
        </w:numPr>
        <w:shd w:val="clear" w:color="auto" w:fill="FFFFFF"/>
        <w:spacing w:before="120" w:after="0" w:line="240" w:lineRule="auto"/>
        <w:ind w:right="431"/>
        <w:jc w:val="both"/>
        <w:rPr>
          <w:rFonts w:ascii="Arial" w:hAnsi="Arial" w:cs="Arial"/>
          <w:sz w:val="24"/>
          <w:szCs w:val="24"/>
        </w:rPr>
      </w:pPr>
      <w:r>
        <w:rPr>
          <w:rFonts w:ascii="Arial" w:hAnsi="Arial" w:cs="Arial"/>
          <w:sz w:val="24"/>
          <w:szCs w:val="24"/>
        </w:rPr>
        <w:lastRenderedPageBreak/>
        <w:t xml:space="preserve">Plan de trabajo de las Secciones de Flagrancia de los Tribunales Penales, salvo II Circuito Judicial de San José, en días feriados y asuetos. </w:t>
      </w:r>
    </w:p>
    <w:p w14:paraId="276C4EC7" w14:textId="77777777" w:rsidR="00E2481B" w:rsidRDefault="00E2481B" w:rsidP="00E2481B">
      <w:pPr>
        <w:shd w:val="clear" w:color="auto" w:fill="FFFFFF"/>
        <w:spacing w:before="120" w:after="0" w:line="240" w:lineRule="auto"/>
        <w:ind w:right="431"/>
        <w:jc w:val="both"/>
        <w:rPr>
          <w:rFonts w:ascii="Arial" w:hAnsi="Arial" w:cs="Arial"/>
          <w:sz w:val="24"/>
          <w:szCs w:val="24"/>
          <w:bdr w:val="none" w:sz="0" w:space="0" w:color="auto" w:frame="1"/>
          <w:lang w:eastAsia="es-CR"/>
        </w:rPr>
      </w:pPr>
    </w:p>
    <w:p w14:paraId="0116F014" w14:textId="77777777" w:rsidR="00E2481B" w:rsidRDefault="00E2481B" w:rsidP="00E2481B">
      <w:pPr>
        <w:shd w:val="clear" w:color="auto" w:fill="FFFFFF"/>
        <w:spacing w:before="120" w:after="0" w:line="240" w:lineRule="auto"/>
        <w:ind w:right="431" w:firstLine="708"/>
        <w:jc w:val="both"/>
        <w:rPr>
          <w:rFonts w:ascii="Arial" w:hAnsi="Arial" w:cs="Arial"/>
          <w:sz w:val="24"/>
          <w:szCs w:val="24"/>
          <w:bdr w:val="none" w:sz="0" w:space="0" w:color="auto" w:frame="1"/>
          <w:lang w:eastAsia="es-CR"/>
        </w:rPr>
      </w:pPr>
      <w:r w:rsidRPr="00E16571">
        <w:rPr>
          <w:rFonts w:ascii="Arial" w:hAnsi="Arial" w:cs="Arial"/>
          <w:b/>
          <w:bCs/>
          <w:sz w:val="24"/>
          <w:szCs w:val="24"/>
          <w:bdr w:val="none" w:sz="0" w:space="0" w:color="auto" w:frame="1"/>
          <w:lang w:eastAsia="es-CR"/>
        </w:rPr>
        <w:t>a.5. Sesión número 05-2020 CNF:</w:t>
      </w:r>
      <w:r>
        <w:rPr>
          <w:rFonts w:ascii="Arial" w:hAnsi="Arial" w:cs="Arial"/>
          <w:sz w:val="24"/>
          <w:szCs w:val="24"/>
          <w:bdr w:val="none" w:sz="0" w:space="0" w:color="auto" w:frame="1"/>
          <w:lang w:eastAsia="es-CR"/>
        </w:rPr>
        <w:t xml:space="preserve">  convocada para continuar la atención de asuntos de la agenda de la sesión 04-2020. </w:t>
      </w:r>
    </w:p>
    <w:p w14:paraId="6804E330" w14:textId="77777777" w:rsidR="00E2481B" w:rsidRDefault="00E2481B" w:rsidP="00E2481B">
      <w:pPr>
        <w:shd w:val="clear" w:color="auto" w:fill="FFFFFF"/>
        <w:spacing w:before="120" w:after="0" w:line="240" w:lineRule="auto"/>
        <w:ind w:right="431" w:firstLine="708"/>
        <w:jc w:val="both"/>
        <w:rPr>
          <w:rFonts w:ascii="Arial" w:hAnsi="Arial" w:cs="Arial"/>
          <w:sz w:val="24"/>
          <w:szCs w:val="24"/>
        </w:rPr>
      </w:pPr>
      <w:r>
        <w:rPr>
          <w:rFonts w:ascii="Arial" w:hAnsi="Arial" w:cs="Arial"/>
          <w:sz w:val="24"/>
          <w:szCs w:val="24"/>
          <w:bdr w:val="none" w:sz="0" w:space="0" w:color="auto" w:frame="1"/>
          <w:lang w:eastAsia="es-CR"/>
        </w:rPr>
        <w:t xml:space="preserve">I. Producto de la discusión y análisis de las observaciones realizadas por parte del Ministerio Público, Defensa Pública y Justicia Restaurativa; se traslada a la persona consultora externa, las apreciaciones acogidas en el seno de la Comisión y se acuerda redactar un nuevo documento que atienda las recomendaciones y objeciones efectuadas por los miembros de la Comisión Nacional de Flagrancia. </w:t>
      </w:r>
    </w:p>
    <w:p w14:paraId="1E8CA3EC" w14:textId="77777777" w:rsidR="00E2481B" w:rsidRDefault="00E2481B" w:rsidP="00E2481B">
      <w:pPr>
        <w:shd w:val="clear" w:color="auto" w:fill="FFFFFF"/>
        <w:spacing w:before="120" w:after="0" w:line="240" w:lineRule="auto"/>
        <w:ind w:left="720" w:right="431"/>
        <w:jc w:val="both"/>
        <w:rPr>
          <w:rFonts w:ascii="Arial" w:hAnsi="Arial" w:cs="Arial"/>
          <w:sz w:val="24"/>
          <w:szCs w:val="24"/>
          <w:bdr w:val="none" w:sz="0" w:space="0" w:color="auto" w:frame="1"/>
          <w:lang w:eastAsia="es-CR"/>
        </w:rPr>
      </w:pPr>
    </w:p>
    <w:p w14:paraId="147960DD" w14:textId="77777777" w:rsidR="00E2481B" w:rsidRPr="0090687C" w:rsidRDefault="00E2481B" w:rsidP="00E2481B">
      <w:pPr>
        <w:shd w:val="clear" w:color="auto" w:fill="FFFFFF"/>
        <w:spacing w:before="120" w:after="0" w:line="240" w:lineRule="auto"/>
        <w:ind w:right="431" w:firstLine="708"/>
        <w:jc w:val="both"/>
        <w:rPr>
          <w:rFonts w:ascii="Arial" w:hAnsi="Arial" w:cs="Arial"/>
          <w:sz w:val="24"/>
          <w:szCs w:val="24"/>
          <w:bdr w:val="none" w:sz="0" w:space="0" w:color="auto" w:frame="1"/>
          <w:lang w:eastAsia="es-CR"/>
        </w:rPr>
      </w:pPr>
      <w:r w:rsidRPr="008B0252">
        <w:rPr>
          <w:rFonts w:ascii="Arial" w:hAnsi="Arial" w:cs="Arial"/>
          <w:b/>
          <w:bCs/>
          <w:sz w:val="24"/>
          <w:szCs w:val="24"/>
          <w:bdr w:val="none" w:sz="0" w:space="0" w:color="auto" w:frame="1"/>
          <w:lang w:eastAsia="es-CR"/>
        </w:rPr>
        <w:t>a.6. Sesión 06-2020 CNF</w:t>
      </w:r>
      <w:r>
        <w:rPr>
          <w:rFonts w:ascii="Arial" w:hAnsi="Arial" w:cs="Arial"/>
          <w:sz w:val="24"/>
          <w:szCs w:val="24"/>
          <w:bdr w:val="none" w:sz="0" w:space="0" w:color="auto" w:frame="1"/>
          <w:lang w:eastAsia="es-CR"/>
        </w:rPr>
        <w:t>, se atendieron los siguientes asuntos:</w:t>
      </w:r>
      <w:r w:rsidRPr="0090687C">
        <w:rPr>
          <w:rFonts w:ascii="Arial" w:hAnsi="Arial" w:cs="Arial"/>
          <w:sz w:val="24"/>
          <w:szCs w:val="24"/>
          <w:bdr w:val="none" w:sz="0" w:space="0" w:color="auto" w:frame="1"/>
          <w:lang w:eastAsia="es-CR"/>
        </w:rPr>
        <w:t xml:space="preserve"> </w:t>
      </w:r>
    </w:p>
    <w:p w14:paraId="0F85C6BE" w14:textId="77777777" w:rsidR="00E2481B" w:rsidRPr="0090687C" w:rsidRDefault="00E2481B" w:rsidP="00E2481B">
      <w:pPr>
        <w:shd w:val="clear" w:color="auto" w:fill="FFFFFF"/>
        <w:spacing w:before="120" w:after="0" w:line="240" w:lineRule="auto"/>
        <w:ind w:left="720" w:right="431"/>
        <w:jc w:val="both"/>
        <w:rPr>
          <w:rFonts w:ascii="Arial" w:hAnsi="Arial" w:cs="Arial"/>
          <w:sz w:val="24"/>
          <w:szCs w:val="24"/>
          <w:bdr w:val="none" w:sz="0" w:space="0" w:color="auto" w:frame="1"/>
          <w:lang w:eastAsia="es-CR"/>
        </w:rPr>
      </w:pPr>
    </w:p>
    <w:p w14:paraId="1A26334E" w14:textId="77777777" w:rsidR="00E2481B" w:rsidRPr="008B0252" w:rsidRDefault="00E2481B" w:rsidP="00E2481B">
      <w:pPr>
        <w:numPr>
          <w:ilvl w:val="0"/>
          <w:numId w:val="15"/>
        </w:numPr>
        <w:shd w:val="clear" w:color="auto" w:fill="FFFFFF"/>
        <w:tabs>
          <w:tab w:val="left" w:pos="851"/>
          <w:tab w:val="left" w:pos="993"/>
        </w:tabs>
        <w:spacing w:after="0" w:line="240" w:lineRule="auto"/>
        <w:ind w:left="709" w:right="431" w:firstLine="0"/>
        <w:jc w:val="both"/>
        <w:rPr>
          <w:rFonts w:ascii="Arial" w:hAnsi="Arial" w:cs="Arial"/>
          <w:i/>
          <w:iCs/>
          <w:sz w:val="24"/>
          <w:szCs w:val="24"/>
        </w:rPr>
      </w:pPr>
      <w:r w:rsidRPr="008B0252">
        <w:rPr>
          <w:rFonts w:ascii="Arial" w:hAnsi="Arial" w:cs="Arial"/>
          <w:sz w:val="24"/>
          <w:szCs w:val="24"/>
        </w:rPr>
        <w:t xml:space="preserve"> Consulta sobre el funcionamiento del Tribunal de Flagrancia de Heredia, donde en lo conducente se solicita, se valores la “</w:t>
      </w:r>
      <w:r w:rsidRPr="008B0252">
        <w:rPr>
          <w:rFonts w:ascii="Arial" w:hAnsi="Arial" w:cs="Arial"/>
          <w:i/>
          <w:iCs/>
          <w:sz w:val="24"/>
          <w:szCs w:val="24"/>
        </w:rPr>
        <w:t>la asignación de una plaza de Juez/a de Trámite y de una plaza de técnico/a judicial para que brinde soporte a las secciones de Flagrancia del Tribunal Penal de Heredia.”</w:t>
      </w:r>
    </w:p>
    <w:p w14:paraId="468AE75D" w14:textId="77777777" w:rsidR="00E2481B" w:rsidRPr="0090687C" w:rsidRDefault="00E2481B" w:rsidP="00E2481B">
      <w:pPr>
        <w:shd w:val="clear" w:color="auto" w:fill="FFFFFF"/>
        <w:tabs>
          <w:tab w:val="left" w:pos="851"/>
          <w:tab w:val="left" w:pos="993"/>
        </w:tabs>
        <w:spacing w:after="0" w:line="240" w:lineRule="auto"/>
        <w:ind w:right="431"/>
        <w:jc w:val="both"/>
        <w:rPr>
          <w:rFonts w:ascii="Arial" w:hAnsi="Arial" w:cs="Arial"/>
          <w:sz w:val="24"/>
          <w:szCs w:val="24"/>
        </w:rPr>
      </w:pPr>
    </w:p>
    <w:p w14:paraId="59DAC52F" w14:textId="77777777" w:rsidR="00E2481B" w:rsidRPr="0090687C" w:rsidRDefault="00E2481B" w:rsidP="00E2481B">
      <w:pPr>
        <w:pStyle w:val="xmsonormal"/>
        <w:numPr>
          <w:ilvl w:val="0"/>
          <w:numId w:val="15"/>
        </w:numPr>
        <w:shd w:val="clear" w:color="auto" w:fill="FFFFFF"/>
        <w:tabs>
          <w:tab w:val="left" w:pos="993"/>
        </w:tabs>
        <w:spacing w:before="0" w:beforeAutospacing="0" w:after="0" w:afterAutospacing="0"/>
        <w:ind w:left="709" w:firstLine="0"/>
        <w:jc w:val="both"/>
        <w:rPr>
          <w:rFonts w:ascii="Arial" w:hAnsi="Arial" w:cs="Arial"/>
          <w:i/>
          <w:iCs/>
        </w:rPr>
      </w:pPr>
      <w:r w:rsidRPr="0090687C">
        <w:rPr>
          <w:rFonts w:ascii="Arial" w:hAnsi="Arial" w:cs="Arial"/>
        </w:rPr>
        <w:t xml:space="preserve">Análisis del proyecto </w:t>
      </w:r>
      <w:r w:rsidRPr="0090687C">
        <w:rPr>
          <w:rFonts w:ascii="Arial" w:hAnsi="Arial" w:cs="Arial"/>
          <w:i/>
          <w:iCs/>
        </w:rPr>
        <w:t xml:space="preserve">“Criterio de la Comisión Nacional de Flagrancia sobre la forma en que deben operar las Secciones de Flagrancia en feriados y asuetos”. </w:t>
      </w:r>
    </w:p>
    <w:p w14:paraId="38CB7337" w14:textId="77777777" w:rsidR="00E2481B" w:rsidRDefault="00E2481B" w:rsidP="00E2481B">
      <w:pPr>
        <w:shd w:val="clear" w:color="auto" w:fill="FFFFFF"/>
        <w:tabs>
          <w:tab w:val="left" w:pos="993"/>
        </w:tabs>
        <w:spacing w:before="120" w:after="0"/>
        <w:ind w:right="431" w:firstLine="709"/>
        <w:jc w:val="both"/>
        <w:rPr>
          <w:rFonts w:ascii="Arial" w:hAnsi="Arial" w:cs="Arial"/>
          <w:sz w:val="24"/>
          <w:szCs w:val="24"/>
        </w:rPr>
      </w:pPr>
    </w:p>
    <w:p w14:paraId="700FE855" w14:textId="77777777" w:rsidR="00E2481B" w:rsidRDefault="00E2481B" w:rsidP="00E2481B">
      <w:pPr>
        <w:shd w:val="clear" w:color="auto" w:fill="FFFFFF"/>
        <w:tabs>
          <w:tab w:val="left" w:pos="993"/>
        </w:tabs>
        <w:spacing w:before="120" w:after="0"/>
        <w:ind w:right="431" w:firstLine="709"/>
        <w:jc w:val="both"/>
        <w:rPr>
          <w:rFonts w:ascii="Arial" w:hAnsi="Arial" w:cs="Arial"/>
          <w:sz w:val="24"/>
          <w:szCs w:val="24"/>
        </w:rPr>
      </w:pPr>
    </w:p>
    <w:p w14:paraId="2D50FF8A" w14:textId="77777777" w:rsidR="00E2481B" w:rsidRDefault="00E2481B" w:rsidP="00E2481B">
      <w:pPr>
        <w:shd w:val="clear" w:color="auto" w:fill="FFFFFF"/>
        <w:tabs>
          <w:tab w:val="left" w:pos="993"/>
        </w:tabs>
        <w:spacing w:before="120" w:after="0"/>
        <w:ind w:right="431" w:firstLine="709"/>
        <w:jc w:val="both"/>
        <w:rPr>
          <w:rFonts w:ascii="Arial" w:hAnsi="Arial" w:cs="Arial"/>
          <w:sz w:val="24"/>
          <w:szCs w:val="24"/>
        </w:rPr>
      </w:pPr>
    </w:p>
    <w:p w14:paraId="176811F3" w14:textId="77777777" w:rsidR="00E2481B" w:rsidRPr="0090687C" w:rsidRDefault="00E2481B" w:rsidP="00E2481B">
      <w:pPr>
        <w:shd w:val="clear" w:color="auto" w:fill="FFFFFF"/>
        <w:tabs>
          <w:tab w:val="left" w:pos="993"/>
        </w:tabs>
        <w:spacing w:before="120" w:after="0"/>
        <w:ind w:right="431" w:firstLine="709"/>
        <w:jc w:val="both"/>
        <w:rPr>
          <w:rFonts w:ascii="Arial" w:hAnsi="Arial" w:cs="Arial"/>
          <w:sz w:val="24"/>
          <w:szCs w:val="24"/>
        </w:rPr>
      </w:pPr>
    </w:p>
    <w:p w14:paraId="0E854F54" w14:textId="77777777" w:rsidR="00E2481B" w:rsidRPr="0090687C" w:rsidRDefault="00E2481B" w:rsidP="00E2481B">
      <w:pPr>
        <w:shd w:val="clear" w:color="auto" w:fill="FFFFFF"/>
        <w:spacing w:before="120" w:after="0" w:line="240" w:lineRule="auto"/>
        <w:ind w:right="431" w:firstLine="709"/>
        <w:jc w:val="both"/>
        <w:rPr>
          <w:rFonts w:ascii="Arial" w:hAnsi="Arial" w:cs="Arial"/>
          <w:sz w:val="24"/>
          <w:szCs w:val="24"/>
          <w:bdr w:val="none" w:sz="0" w:space="0" w:color="auto" w:frame="1"/>
          <w:lang w:eastAsia="es-CR"/>
        </w:rPr>
      </w:pPr>
      <w:r w:rsidRPr="008B0252">
        <w:rPr>
          <w:rFonts w:ascii="Arial" w:hAnsi="Arial" w:cs="Arial"/>
          <w:b/>
          <w:bCs/>
          <w:sz w:val="24"/>
          <w:szCs w:val="24"/>
          <w:bdr w:val="none" w:sz="0" w:space="0" w:color="auto" w:frame="1"/>
          <w:lang w:eastAsia="es-CR"/>
        </w:rPr>
        <w:t>a.7. Sesión 07-2020</w:t>
      </w:r>
      <w:r>
        <w:rPr>
          <w:rFonts w:ascii="Arial" w:hAnsi="Arial" w:cs="Arial"/>
          <w:sz w:val="24"/>
          <w:szCs w:val="24"/>
          <w:bdr w:val="none" w:sz="0" w:space="0" w:color="auto" w:frame="1"/>
          <w:lang w:eastAsia="es-CR"/>
        </w:rPr>
        <w:t xml:space="preserve">, se trataron los siguientes asuntos: </w:t>
      </w:r>
    </w:p>
    <w:p w14:paraId="2B40F7E6" w14:textId="77777777" w:rsidR="00E2481B" w:rsidRDefault="00E2481B" w:rsidP="00E2481B">
      <w:pPr>
        <w:shd w:val="clear" w:color="auto" w:fill="FFFFFF"/>
        <w:spacing w:before="120" w:after="0" w:line="240" w:lineRule="auto"/>
        <w:ind w:left="720" w:right="431"/>
        <w:jc w:val="both"/>
        <w:rPr>
          <w:rFonts w:ascii="Arial" w:hAnsi="Arial" w:cs="Arial"/>
          <w:sz w:val="24"/>
          <w:szCs w:val="24"/>
          <w:bdr w:val="none" w:sz="0" w:space="0" w:color="auto" w:frame="1"/>
          <w:lang w:eastAsia="es-CR"/>
        </w:rPr>
      </w:pPr>
    </w:p>
    <w:p w14:paraId="7672F6BD" w14:textId="77777777" w:rsidR="00E2481B" w:rsidRPr="00631FE7" w:rsidRDefault="00E2481B" w:rsidP="00E2481B">
      <w:pPr>
        <w:numPr>
          <w:ilvl w:val="0"/>
          <w:numId w:val="16"/>
        </w:numPr>
        <w:shd w:val="clear" w:color="auto" w:fill="FFFFFF"/>
        <w:tabs>
          <w:tab w:val="left" w:pos="993"/>
        </w:tabs>
        <w:spacing w:before="120" w:after="0" w:line="240" w:lineRule="auto"/>
        <w:ind w:left="709" w:right="431" w:firstLine="142"/>
        <w:jc w:val="both"/>
        <w:rPr>
          <w:rFonts w:ascii="Arial" w:hAnsi="Arial" w:cs="Arial"/>
          <w:sz w:val="24"/>
          <w:szCs w:val="24"/>
        </w:rPr>
      </w:pPr>
      <w:r w:rsidRPr="00631FE7">
        <w:rPr>
          <w:rFonts w:ascii="Arial" w:hAnsi="Arial" w:cs="Arial"/>
          <w:sz w:val="24"/>
          <w:szCs w:val="24"/>
        </w:rPr>
        <w:t xml:space="preserve">Informe de la Dirección de Planificación número 1893-PLA-MI-OI-2020, referente a la propuesta de funcionamiento de las secciones de flagrancia de los Tribunales Penales del Primer y Segundo Circuito Judicial de San José, (se adjunta las observaciones realizadas por la Defensa Pública). </w:t>
      </w:r>
    </w:p>
    <w:p w14:paraId="337095BD" w14:textId="77777777" w:rsidR="00E2481B" w:rsidRPr="00631FE7" w:rsidRDefault="00E2481B" w:rsidP="00E2481B">
      <w:pPr>
        <w:shd w:val="clear" w:color="auto" w:fill="FFFFFF"/>
        <w:spacing w:before="120" w:after="0"/>
        <w:ind w:right="431"/>
        <w:jc w:val="both"/>
        <w:rPr>
          <w:rFonts w:ascii="Arial" w:hAnsi="Arial" w:cs="Arial"/>
          <w:sz w:val="24"/>
          <w:szCs w:val="24"/>
        </w:rPr>
      </w:pPr>
      <w:r w:rsidRPr="00631FE7">
        <w:rPr>
          <w:rFonts w:ascii="Arial" w:hAnsi="Arial" w:cs="Arial"/>
          <w:sz w:val="24"/>
          <w:szCs w:val="24"/>
        </w:rPr>
        <w:t xml:space="preserve">  </w:t>
      </w:r>
    </w:p>
    <w:p w14:paraId="012D4EDA" w14:textId="77777777" w:rsidR="00E2481B" w:rsidRDefault="00E2481B" w:rsidP="00E2481B">
      <w:pPr>
        <w:widowControl w:val="0"/>
        <w:numPr>
          <w:ilvl w:val="0"/>
          <w:numId w:val="16"/>
        </w:numPr>
        <w:shd w:val="clear" w:color="auto" w:fill="FFFFFF"/>
        <w:tabs>
          <w:tab w:val="left" w:pos="993"/>
        </w:tabs>
        <w:spacing w:before="120" w:after="0" w:line="240" w:lineRule="auto"/>
        <w:ind w:left="709" w:right="555" w:firstLine="142"/>
        <w:jc w:val="both"/>
        <w:rPr>
          <w:rFonts w:ascii="Arial" w:hAnsi="Arial" w:cs="Arial"/>
          <w:i/>
          <w:iCs/>
          <w:sz w:val="24"/>
          <w:szCs w:val="24"/>
        </w:rPr>
      </w:pPr>
      <w:r w:rsidRPr="008B0252">
        <w:rPr>
          <w:rFonts w:ascii="Arial" w:hAnsi="Arial" w:cs="Arial"/>
          <w:sz w:val="24"/>
          <w:szCs w:val="24"/>
        </w:rPr>
        <w:t xml:space="preserve">Criterio a la consulta realizada sobre el funcionamiento del Tribunal de Flagrancia de Heredia durante los fines de semana largos. En lo conducente se acordó: </w:t>
      </w:r>
      <w:r w:rsidRPr="008B0252">
        <w:rPr>
          <w:rFonts w:ascii="Arial" w:hAnsi="Arial" w:cs="Arial"/>
          <w:i/>
          <w:iCs/>
          <w:sz w:val="24"/>
          <w:szCs w:val="24"/>
        </w:rPr>
        <w:t xml:space="preserve">“En razón de lo anteriormente expuesto, dado que el Tribunal de Flagrancia de Heredia labora en jornada idéntica a la del Tribunal Ordinario (de lunes a viernes), respetuosamente solicito al Consejo Superior </w:t>
      </w:r>
      <w:r w:rsidRPr="008B0252">
        <w:rPr>
          <w:rFonts w:ascii="Arial" w:hAnsi="Arial" w:cs="Arial"/>
          <w:i/>
          <w:iCs/>
          <w:sz w:val="24"/>
          <w:szCs w:val="24"/>
          <w:u w:val="single"/>
        </w:rPr>
        <w:t>que se autorice el pago del rubro de disponibilidad y horas extra</w:t>
      </w:r>
      <w:r w:rsidRPr="008B0252">
        <w:rPr>
          <w:rFonts w:ascii="Arial" w:hAnsi="Arial" w:cs="Arial"/>
          <w:i/>
          <w:iCs/>
          <w:sz w:val="24"/>
          <w:szCs w:val="24"/>
        </w:rPr>
        <w:t xml:space="preserve"> (si es que efectivamente debe haber desplazamiento del personal a la sede del Tribunal si el caso lo amerita), para atender la disponibilidad de fines de semana largo </w:t>
      </w:r>
      <w:r w:rsidRPr="008B0252">
        <w:rPr>
          <w:rFonts w:ascii="Arial" w:hAnsi="Arial" w:cs="Arial"/>
          <w:i/>
          <w:iCs/>
          <w:sz w:val="24"/>
          <w:szCs w:val="24"/>
        </w:rPr>
        <w:lastRenderedPageBreak/>
        <w:t>y se nos indique cómo debe funcionar Sarapiquí, tomando en consideración que entre la sede del Tribunal de Heredia y la sede de Sarapiquí hay una importancia distancia geográfica y se hace necesario que para cualquier situación de urgencia en dicha sede, exista personal disponible que pueda evacuar de primera mano cualquier situación de urgencia. Agradezco atender esta gestión a la brevedad posible para disponer lo que corresponda para los fines de semana del 28 al 30 de noviembre y del 11 al 13 de diciembre, del 25 al 27 de diciembre y del 1 al 3 de enero que son los próximos que deben cubrirse este año e inicios del 2021</w:t>
      </w:r>
      <w:r>
        <w:rPr>
          <w:rFonts w:ascii="Arial" w:hAnsi="Arial" w:cs="Arial"/>
          <w:i/>
          <w:iCs/>
          <w:sz w:val="24"/>
          <w:szCs w:val="24"/>
        </w:rPr>
        <w:t>”.</w:t>
      </w:r>
    </w:p>
    <w:p w14:paraId="4236B6D8" w14:textId="77777777" w:rsidR="00E2481B" w:rsidRPr="008B0252" w:rsidRDefault="00E2481B" w:rsidP="00E2481B">
      <w:pPr>
        <w:widowControl w:val="0"/>
        <w:shd w:val="clear" w:color="auto" w:fill="FFFFFF"/>
        <w:tabs>
          <w:tab w:val="left" w:pos="993"/>
        </w:tabs>
        <w:spacing w:before="120" w:after="0" w:line="240" w:lineRule="auto"/>
        <w:ind w:left="851" w:right="555"/>
        <w:jc w:val="both"/>
        <w:rPr>
          <w:rFonts w:ascii="Arial" w:hAnsi="Arial" w:cs="Arial"/>
          <w:i/>
          <w:iCs/>
          <w:sz w:val="24"/>
          <w:szCs w:val="24"/>
        </w:rPr>
      </w:pPr>
    </w:p>
    <w:p w14:paraId="48115868" w14:textId="77777777" w:rsidR="00E2481B" w:rsidRPr="008B0252" w:rsidRDefault="00E2481B" w:rsidP="00E2481B">
      <w:pPr>
        <w:numPr>
          <w:ilvl w:val="0"/>
          <w:numId w:val="16"/>
        </w:numPr>
        <w:shd w:val="clear" w:color="auto" w:fill="FFFFFF"/>
        <w:tabs>
          <w:tab w:val="left" w:pos="851"/>
          <w:tab w:val="left" w:pos="993"/>
          <w:tab w:val="left" w:pos="1276"/>
        </w:tabs>
        <w:spacing w:before="120" w:after="0" w:line="240" w:lineRule="auto"/>
        <w:ind w:left="709" w:right="431" w:firstLine="284"/>
        <w:jc w:val="both"/>
        <w:rPr>
          <w:rFonts w:ascii="Arial" w:hAnsi="Arial" w:cs="Arial"/>
          <w:sz w:val="24"/>
          <w:szCs w:val="24"/>
        </w:rPr>
      </w:pPr>
      <w:r w:rsidRPr="008B0252">
        <w:rPr>
          <w:rFonts w:ascii="Arial" w:hAnsi="Arial" w:cs="Arial"/>
          <w:sz w:val="24"/>
          <w:szCs w:val="24"/>
        </w:rPr>
        <w:t xml:space="preserve">  Informe de la Dirección de Planificación número 1935-PLA_EV-2020, suscrito por el Ing. Jorge Fernando Rodríguez Salazar, jefe a.i. del Subproceso de Evaluación, relacionado con la propuesta de las secciones de Flagrancia para realizar juicios durante el cierre colectivo 2020-202. </w:t>
      </w:r>
      <w:r w:rsidRPr="00631FE7">
        <w:rPr>
          <w:rFonts w:ascii="Arial" w:hAnsi="Arial" w:cs="Arial"/>
          <w:sz w:val="24"/>
          <w:szCs w:val="24"/>
        </w:rPr>
        <w:object w:dxaOrig="9686" w:dyaOrig="492" w14:anchorId="01D07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35pt;height:24.55pt" o:ole="">
            <v:imagedata r:id="rId23" o:title=""/>
          </v:shape>
          <o:OLEObject Type="Embed" ProgID="Word.Document.8" ShapeID="_x0000_i1025" DrawAspect="Content" ObjectID="_1693911323" r:id="rId24">
            <o:FieldCodes>\s</o:FieldCodes>
          </o:OLEObject>
        </w:object>
      </w:r>
      <w:r w:rsidRPr="008B0252">
        <w:rPr>
          <w:rFonts w:ascii="Arial" w:hAnsi="Arial" w:cs="Arial"/>
          <w:sz w:val="24"/>
          <w:szCs w:val="24"/>
        </w:rPr>
        <w:t>IV.  Propuesta del Ministerio Público, de inclusión de los fiscales y las fiscalas de Flagrancia en los roles de disponibilidad de las respectivas fiscalías territoriales en las que trabajan, cuando su horario sea de 7:30 am a 4:30 pm.</w:t>
      </w:r>
    </w:p>
    <w:p w14:paraId="5C796E36" w14:textId="77777777" w:rsidR="00E2481B" w:rsidRDefault="00E2481B" w:rsidP="00E2481B">
      <w:pPr>
        <w:pStyle w:val="Prrafodelista"/>
        <w:jc w:val="both"/>
        <w:rPr>
          <w:rFonts w:ascii="Arial" w:hAnsi="Arial" w:cs="Arial"/>
          <w:sz w:val="24"/>
          <w:szCs w:val="24"/>
          <w:bdr w:val="none" w:sz="0" w:space="0" w:color="auto" w:frame="1"/>
          <w:lang w:eastAsia="es-CR"/>
        </w:rPr>
      </w:pPr>
    </w:p>
    <w:p w14:paraId="3986050E" w14:textId="77777777" w:rsidR="00E2481B" w:rsidRDefault="00E2481B" w:rsidP="00E2481B">
      <w:pPr>
        <w:pStyle w:val="Prrafodelista"/>
        <w:jc w:val="both"/>
        <w:rPr>
          <w:rFonts w:ascii="Arial" w:hAnsi="Arial" w:cs="Arial"/>
          <w:sz w:val="24"/>
          <w:szCs w:val="24"/>
          <w:bdr w:val="none" w:sz="0" w:space="0" w:color="auto" w:frame="1"/>
          <w:lang w:eastAsia="es-CR"/>
        </w:rPr>
      </w:pPr>
    </w:p>
    <w:p w14:paraId="657CB217" w14:textId="77777777" w:rsidR="00E2481B" w:rsidRDefault="00E2481B" w:rsidP="00E2481B">
      <w:pPr>
        <w:pStyle w:val="Prrafodelista"/>
        <w:jc w:val="both"/>
        <w:rPr>
          <w:rFonts w:ascii="Arial" w:hAnsi="Arial" w:cs="Arial"/>
          <w:sz w:val="24"/>
          <w:szCs w:val="24"/>
          <w:bdr w:val="none" w:sz="0" w:space="0" w:color="auto" w:frame="1"/>
          <w:lang w:eastAsia="es-CR"/>
        </w:rPr>
      </w:pPr>
    </w:p>
    <w:p w14:paraId="7BC90B8C" w14:textId="77777777" w:rsidR="00E2481B" w:rsidRPr="008B0252" w:rsidRDefault="00E2481B" w:rsidP="00E2481B">
      <w:pPr>
        <w:shd w:val="clear" w:color="auto" w:fill="FFFFFF"/>
        <w:tabs>
          <w:tab w:val="left" w:pos="851"/>
          <w:tab w:val="left" w:pos="993"/>
          <w:tab w:val="left" w:pos="1276"/>
        </w:tabs>
        <w:spacing w:before="120" w:after="0" w:line="240" w:lineRule="auto"/>
        <w:ind w:left="993" w:right="431"/>
        <w:jc w:val="both"/>
        <w:rPr>
          <w:rFonts w:ascii="Arial" w:hAnsi="Arial" w:cs="Arial"/>
          <w:sz w:val="24"/>
          <w:szCs w:val="24"/>
          <w:bdr w:val="none" w:sz="0" w:space="0" w:color="auto" w:frame="1"/>
          <w:lang w:eastAsia="es-CR"/>
        </w:rPr>
      </w:pPr>
    </w:p>
    <w:p w14:paraId="6ACCE8FA" w14:textId="77777777" w:rsidR="00E2481B" w:rsidRPr="00460869" w:rsidRDefault="00E2481B" w:rsidP="00E2481B">
      <w:pPr>
        <w:numPr>
          <w:ilvl w:val="0"/>
          <w:numId w:val="32"/>
        </w:numPr>
        <w:tabs>
          <w:tab w:val="left" w:pos="993"/>
        </w:tabs>
        <w:spacing w:after="160" w:line="240" w:lineRule="auto"/>
        <w:ind w:left="567" w:firstLine="0"/>
        <w:jc w:val="both"/>
        <w:rPr>
          <w:b/>
          <w:bCs/>
          <w:lang w:val="es-ES"/>
        </w:rPr>
      </w:pPr>
      <w:r>
        <w:rPr>
          <w:rFonts w:ascii="Arial" w:hAnsi="Arial" w:cs="Arial"/>
          <w:b/>
          <w:bCs/>
          <w:sz w:val="24"/>
          <w:szCs w:val="24"/>
        </w:rPr>
        <w:t>Rendimiento en la gestión de consultas y pronunciamientos de la Comisión Nacional de Flagrancia</w:t>
      </w:r>
    </w:p>
    <w:p w14:paraId="5212A70B" w14:textId="77777777" w:rsidR="00E2481B" w:rsidRDefault="00E2481B" w:rsidP="00E2481B">
      <w:pPr>
        <w:spacing w:line="240" w:lineRule="auto"/>
        <w:ind w:firstLine="567"/>
        <w:jc w:val="both"/>
        <w:rPr>
          <w:rFonts w:ascii="Arial" w:hAnsi="Arial" w:cs="Arial"/>
          <w:sz w:val="24"/>
          <w:szCs w:val="24"/>
        </w:rPr>
      </w:pPr>
      <w:r>
        <w:rPr>
          <w:rFonts w:ascii="Arial" w:hAnsi="Arial" w:cs="Arial"/>
          <w:sz w:val="24"/>
          <w:szCs w:val="24"/>
        </w:rPr>
        <w:t>Durante el año 2020, la Comisión Nacional de Flagrancia, además de acompañar en el proceso de rediseño del modelo de trabajo de las Secciones de Flagrancia, recibió ocho (8) consultas y emitió un total de dieciocho (18) criterios o pronunciamientos que sirven de apoyo a la Corte Plena para la buena gobernanza judicial, y que marcan pautas de relevancia en materia de flagrancia, entre ellas, las siguientes:</w:t>
      </w:r>
    </w:p>
    <w:p w14:paraId="309F4450" w14:textId="77777777" w:rsidR="00E2481B" w:rsidRDefault="00E2481B" w:rsidP="00E2481B">
      <w:pPr>
        <w:spacing w:line="240" w:lineRule="auto"/>
        <w:ind w:firstLine="567"/>
        <w:jc w:val="both"/>
        <w:rPr>
          <w:rFonts w:ascii="Arial" w:hAnsi="Arial" w:cs="Arial"/>
          <w:sz w:val="24"/>
          <w:szCs w:val="24"/>
        </w:rPr>
      </w:pPr>
    </w:p>
    <w:p w14:paraId="690C7971" w14:textId="23783338" w:rsidR="00E2481B" w:rsidRDefault="00E2481B" w:rsidP="00E2481B">
      <w:pPr>
        <w:spacing w:line="240" w:lineRule="auto"/>
        <w:ind w:firstLine="567"/>
        <w:jc w:val="both"/>
      </w:pPr>
      <w:r w:rsidRPr="008C1D9D">
        <w:rPr>
          <w:noProof/>
        </w:rPr>
        <w:lastRenderedPageBreak/>
        <w:drawing>
          <wp:inline distT="0" distB="0" distL="0" distR="0" wp14:anchorId="3498976E" wp14:editId="60D9ED79">
            <wp:extent cx="5494020" cy="3208020"/>
            <wp:effectExtent l="0" t="0" r="0"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C63A25">
        <w:rPr>
          <w:rFonts w:ascii="Arial Narrow" w:hAnsi="Arial Narrow"/>
          <w:sz w:val="20"/>
          <w:szCs w:val="20"/>
        </w:rPr>
        <w:t>Elaboración propia</w:t>
      </w:r>
    </w:p>
    <w:p w14:paraId="1E9BCFBA" w14:textId="77777777" w:rsidR="00E2481B" w:rsidRDefault="00E2481B" w:rsidP="00E2481B">
      <w:pPr>
        <w:spacing w:line="240" w:lineRule="auto"/>
        <w:ind w:firstLine="567"/>
        <w:jc w:val="both"/>
        <w:rPr>
          <w:rFonts w:ascii="Arial" w:hAnsi="Arial" w:cs="Arial"/>
        </w:rPr>
      </w:pPr>
    </w:p>
    <w:p w14:paraId="5A7CC6B8" w14:textId="716A3712" w:rsidR="00E2481B" w:rsidRPr="00083ED4" w:rsidRDefault="00E2481B" w:rsidP="00E2481B">
      <w:pPr>
        <w:tabs>
          <w:tab w:val="left" w:pos="993"/>
        </w:tabs>
        <w:spacing w:line="240" w:lineRule="auto"/>
        <w:ind w:left="567"/>
        <w:jc w:val="both"/>
        <w:rPr>
          <w:b/>
          <w:bCs/>
          <w:color w:val="FF0000"/>
          <w:lang w:val="es-ES"/>
        </w:rPr>
      </w:pPr>
    </w:p>
    <w:tbl>
      <w:tblPr>
        <w:tblW w:w="8771"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0"/>
        <w:gridCol w:w="2016"/>
        <w:gridCol w:w="2611"/>
        <w:gridCol w:w="2134"/>
      </w:tblGrid>
      <w:tr w:rsidR="00E2481B" w14:paraId="7EE94BCE" w14:textId="77777777" w:rsidTr="00790D79">
        <w:trPr>
          <w:trHeight w:val="169"/>
          <w:tblHeader/>
        </w:trPr>
        <w:tc>
          <w:tcPr>
            <w:tcW w:w="8771" w:type="dxa"/>
            <w:gridSpan w:val="4"/>
            <w:shd w:val="clear" w:color="auto" w:fill="1F3864"/>
            <w:vAlign w:val="center"/>
          </w:tcPr>
          <w:p w14:paraId="7FE06ADD" w14:textId="77777777" w:rsidR="00E2481B" w:rsidRDefault="00E2481B" w:rsidP="00790D79">
            <w:pPr>
              <w:spacing w:after="0" w:line="240" w:lineRule="auto"/>
              <w:jc w:val="both"/>
              <w:rPr>
                <w:rFonts w:ascii="Arial Black" w:hAnsi="Arial Black" w:cs="Arial"/>
                <w:sz w:val="24"/>
                <w:szCs w:val="24"/>
              </w:rPr>
            </w:pPr>
            <w:r w:rsidRPr="00B67051">
              <w:rPr>
                <w:rFonts w:ascii="Arial Black" w:hAnsi="Arial Black" w:cs="Arial"/>
                <w:sz w:val="24"/>
                <w:szCs w:val="24"/>
              </w:rPr>
              <w:t xml:space="preserve">Pronunciamientos de la Comisión Nacional de Flagrancia </w:t>
            </w:r>
          </w:p>
          <w:p w14:paraId="5F70A14F" w14:textId="77777777" w:rsidR="00E2481B" w:rsidRPr="00B67051" w:rsidRDefault="00E2481B" w:rsidP="00790D79">
            <w:pPr>
              <w:spacing w:after="0" w:line="240" w:lineRule="auto"/>
              <w:jc w:val="both"/>
              <w:rPr>
                <w:rFonts w:ascii="Arial Black" w:hAnsi="Arial Black" w:cs="Arial"/>
                <w:sz w:val="24"/>
                <w:szCs w:val="24"/>
              </w:rPr>
            </w:pPr>
            <w:r w:rsidRPr="00B67051">
              <w:rPr>
                <w:rFonts w:ascii="Arial Black" w:hAnsi="Arial Black" w:cs="Arial"/>
                <w:sz w:val="24"/>
                <w:szCs w:val="24"/>
              </w:rPr>
              <w:t>– 2020-</w:t>
            </w:r>
          </w:p>
        </w:tc>
      </w:tr>
      <w:tr w:rsidR="00E2481B" w14:paraId="5E72AC5E" w14:textId="77777777" w:rsidTr="00790D79">
        <w:trPr>
          <w:trHeight w:val="219"/>
          <w:tblHeader/>
        </w:trPr>
        <w:tc>
          <w:tcPr>
            <w:tcW w:w="2010" w:type="dxa"/>
            <w:shd w:val="clear" w:color="auto" w:fill="D9E2F3"/>
            <w:vAlign w:val="bottom"/>
          </w:tcPr>
          <w:p w14:paraId="570E248E" w14:textId="77777777" w:rsidR="00E2481B" w:rsidRPr="00B67051" w:rsidRDefault="00E2481B" w:rsidP="00790D79">
            <w:pPr>
              <w:spacing w:line="240" w:lineRule="auto"/>
              <w:jc w:val="both"/>
              <w:rPr>
                <w:rFonts w:ascii="Arial" w:hAnsi="Arial" w:cs="Arial"/>
                <w:b/>
                <w:bCs/>
                <w:sz w:val="24"/>
                <w:szCs w:val="24"/>
              </w:rPr>
            </w:pPr>
            <w:r w:rsidRPr="00B67051">
              <w:rPr>
                <w:rFonts w:ascii="Arial" w:hAnsi="Arial" w:cs="Arial"/>
                <w:b/>
                <w:bCs/>
                <w:sz w:val="24"/>
                <w:szCs w:val="24"/>
              </w:rPr>
              <w:t>Oficio</w:t>
            </w:r>
          </w:p>
        </w:tc>
        <w:tc>
          <w:tcPr>
            <w:tcW w:w="2016" w:type="dxa"/>
            <w:shd w:val="clear" w:color="auto" w:fill="D9E2F3"/>
            <w:vAlign w:val="bottom"/>
          </w:tcPr>
          <w:p w14:paraId="549D4C34" w14:textId="77777777" w:rsidR="00E2481B" w:rsidRPr="00B67051" w:rsidRDefault="00E2481B" w:rsidP="00790D79">
            <w:pPr>
              <w:spacing w:line="240" w:lineRule="auto"/>
              <w:jc w:val="both"/>
              <w:rPr>
                <w:rFonts w:ascii="Arial" w:hAnsi="Arial" w:cs="Arial"/>
                <w:b/>
                <w:bCs/>
                <w:sz w:val="24"/>
                <w:szCs w:val="24"/>
              </w:rPr>
            </w:pPr>
            <w:r w:rsidRPr="00B67051">
              <w:rPr>
                <w:rFonts w:ascii="Arial" w:hAnsi="Arial" w:cs="Arial"/>
                <w:b/>
                <w:bCs/>
                <w:sz w:val="24"/>
                <w:szCs w:val="24"/>
              </w:rPr>
              <w:t>Tema</w:t>
            </w:r>
          </w:p>
        </w:tc>
        <w:tc>
          <w:tcPr>
            <w:tcW w:w="2611" w:type="dxa"/>
            <w:shd w:val="clear" w:color="auto" w:fill="D9E2F3"/>
            <w:vAlign w:val="bottom"/>
          </w:tcPr>
          <w:p w14:paraId="318140F5" w14:textId="77777777" w:rsidR="00E2481B" w:rsidRPr="00B67051" w:rsidRDefault="00E2481B" w:rsidP="00790D79">
            <w:pPr>
              <w:spacing w:line="240" w:lineRule="auto"/>
              <w:jc w:val="both"/>
              <w:rPr>
                <w:rFonts w:ascii="Arial" w:hAnsi="Arial" w:cs="Arial"/>
                <w:b/>
                <w:bCs/>
                <w:sz w:val="24"/>
                <w:szCs w:val="24"/>
              </w:rPr>
            </w:pPr>
            <w:r w:rsidRPr="00B67051">
              <w:rPr>
                <w:rFonts w:ascii="Arial" w:hAnsi="Arial" w:cs="Arial"/>
                <w:b/>
                <w:bCs/>
                <w:sz w:val="24"/>
                <w:szCs w:val="24"/>
              </w:rPr>
              <w:t>Resumen</w:t>
            </w:r>
          </w:p>
        </w:tc>
        <w:tc>
          <w:tcPr>
            <w:tcW w:w="2134" w:type="dxa"/>
            <w:shd w:val="clear" w:color="auto" w:fill="D9E2F3"/>
            <w:vAlign w:val="bottom"/>
          </w:tcPr>
          <w:p w14:paraId="46A5B738" w14:textId="77777777" w:rsidR="00E2481B" w:rsidRPr="00B67051" w:rsidRDefault="00E2481B" w:rsidP="00790D79">
            <w:pPr>
              <w:spacing w:line="240" w:lineRule="auto"/>
              <w:jc w:val="both"/>
              <w:rPr>
                <w:rFonts w:ascii="Arial" w:hAnsi="Arial" w:cs="Arial"/>
                <w:b/>
                <w:bCs/>
                <w:sz w:val="24"/>
                <w:szCs w:val="24"/>
              </w:rPr>
            </w:pPr>
            <w:r>
              <w:rPr>
                <w:rFonts w:ascii="Arial" w:hAnsi="Arial" w:cs="Arial"/>
                <w:b/>
                <w:bCs/>
                <w:sz w:val="24"/>
                <w:szCs w:val="24"/>
              </w:rPr>
              <w:t>Enlace</w:t>
            </w:r>
          </w:p>
        </w:tc>
      </w:tr>
      <w:tr w:rsidR="00E2481B" w14:paraId="5AC00C72" w14:textId="77777777" w:rsidTr="00790D79">
        <w:trPr>
          <w:trHeight w:val="216"/>
        </w:trPr>
        <w:tc>
          <w:tcPr>
            <w:tcW w:w="2010" w:type="dxa"/>
            <w:shd w:val="clear" w:color="auto" w:fill="D5DCE4"/>
            <w:vAlign w:val="center"/>
          </w:tcPr>
          <w:p w14:paraId="704B87DC"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t>01-CNFLAG</w:t>
            </w:r>
          </w:p>
        </w:tc>
        <w:tc>
          <w:tcPr>
            <w:tcW w:w="2016" w:type="dxa"/>
            <w:vAlign w:val="center"/>
          </w:tcPr>
          <w:p w14:paraId="1CA7EA7A"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t>Ius Variandi</w:t>
            </w:r>
          </w:p>
        </w:tc>
        <w:tc>
          <w:tcPr>
            <w:tcW w:w="2611" w:type="dxa"/>
          </w:tcPr>
          <w:p w14:paraId="70DAFEFE" w14:textId="77777777" w:rsidR="00E2481B" w:rsidRDefault="00E2481B" w:rsidP="00790D79">
            <w:pPr>
              <w:spacing w:line="240" w:lineRule="auto"/>
              <w:jc w:val="both"/>
              <w:rPr>
                <w:rFonts w:ascii="Arial" w:hAnsi="Arial" w:cs="Arial"/>
                <w:sz w:val="24"/>
                <w:szCs w:val="24"/>
              </w:rPr>
            </w:pPr>
            <w:r w:rsidRPr="00121E7E">
              <w:rPr>
                <w:rFonts w:ascii="Arial" w:hAnsi="Arial" w:cs="Arial"/>
              </w:rPr>
              <w:t>Solicitud de criterio jurídico previo a pronunciamiento de la CNFLAG, con relación a la variación de horario y jornada laboral de jueces y juezas de flagrancia</w:t>
            </w:r>
          </w:p>
        </w:tc>
        <w:tc>
          <w:tcPr>
            <w:tcW w:w="2134" w:type="dxa"/>
          </w:tcPr>
          <w:p w14:paraId="1C754AB7" w14:textId="77777777" w:rsidR="00E2481B" w:rsidRPr="00121E7E" w:rsidRDefault="00E2481B" w:rsidP="00790D79">
            <w:pPr>
              <w:spacing w:line="240" w:lineRule="auto"/>
              <w:jc w:val="both"/>
              <w:rPr>
                <w:rFonts w:ascii="Arial" w:hAnsi="Arial" w:cs="Arial"/>
                <w:b/>
                <w:bCs/>
                <w:color w:val="FF0000"/>
                <w:sz w:val="24"/>
                <w:szCs w:val="24"/>
              </w:rPr>
            </w:pPr>
            <w:r>
              <w:rPr>
                <w:rFonts w:ascii="Arial" w:eastAsia="Times New Roman" w:hAnsi="Arial" w:cs="Arial"/>
                <w:color w:val="000000"/>
                <w:sz w:val="24"/>
                <w:szCs w:val="24"/>
                <w:lang w:eastAsia="es-CR"/>
              </w:rPr>
              <w:object w:dxaOrig="1508" w:dyaOrig="984" w14:anchorId="5CF630BA">
                <v:shape id="_x0000_i1026" type="#_x0000_t75" style="width:75.8pt;height:49.1pt" o:ole="">
                  <v:imagedata r:id="rId26" o:title=""/>
                </v:shape>
                <o:OLEObject Type="Embed" ProgID="AcroExch.Document.DC" ShapeID="_x0000_i1026" DrawAspect="Icon" ObjectID="_1693911324" r:id="rId27"/>
              </w:object>
            </w:r>
          </w:p>
        </w:tc>
      </w:tr>
      <w:tr w:rsidR="00E2481B" w14:paraId="040047BA" w14:textId="77777777" w:rsidTr="00790D79">
        <w:trPr>
          <w:trHeight w:val="110"/>
        </w:trPr>
        <w:tc>
          <w:tcPr>
            <w:tcW w:w="2010" w:type="dxa"/>
            <w:shd w:val="clear" w:color="auto" w:fill="D5DCE4"/>
            <w:vAlign w:val="center"/>
          </w:tcPr>
          <w:p w14:paraId="14AA5393"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02-CNFLAG</w:t>
            </w:r>
          </w:p>
        </w:tc>
        <w:tc>
          <w:tcPr>
            <w:tcW w:w="2016" w:type="dxa"/>
          </w:tcPr>
          <w:p w14:paraId="6554DFEE" w14:textId="77777777" w:rsidR="00E2481B" w:rsidRPr="00C71AB2" w:rsidRDefault="00E2481B" w:rsidP="00790D79">
            <w:pPr>
              <w:spacing w:line="240" w:lineRule="auto"/>
              <w:jc w:val="both"/>
              <w:rPr>
                <w:rFonts w:ascii="Arial" w:hAnsi="Arial" w:cs="Arial"/>
                <w:sz w:val="24"/>
                <w:szCs w:val="24"/>
              </w:rPr>
            </w:pPr>
            <w:r w:rsidRPr="00C71AB2">
              <w:rPr>
                <w:rFonts w:ascii="Arial" w:hAnsi="Arial" w:cs="Arial"/>
                <w:szCs w:val="24"/>
              </w:rPr>
              <w:t>Funcionamiento de las secciones de Flagrancia para feriados y asuetos</w:t>
            </w:r>
          </w:p>
        </w:tc>
        <w:tc>
          <w:tcPr>
            <w:tcW w:w="2611" w:type="dxa"/>
          </w:tcPr>
          <w:p w14:paraId="041F89C7" w14:textId="77777777" w:rsidR="00E2481B" w:rsidRPr="00C71AB2" w:rsidRDefault="00E2481B" w:rsidP="00790D79">
            <w:pPr>
              <w:spacing w:line="240" w:lineRule="auto"/>
              <w:jc w:val="both"/>
              <w:rPr>
                <w:rFonts w:ascii="Arial" w:hAnsi="Arial" w:cs="Arial"/>
                <w:sz w:val="24"/>
                <w:szCs w:val="24"/>
              </w:rPr>
            </w:pPr>
            <w:r w:rsidRPr="00C71AB2">
              <w:rPr>
                <w:rFonts w:ascii="Arial" w:hAnsi="Arial" w:cs="Arial"/>
                <w:szCs w:val="24"/>
              </w:rPr>
              <w:t xml:space="preserve">Se solicita al Consejo Superior valorar la conveniencia institucional de mantener el servicio de las Secciones de Flagrancia para los días feriados y asuetos, modificar las disposiciones al respecto y disponer que, a partir del primero de mayo del 2020, estas Secciones no presten el servicio en </w:t>
            </w:r>
            <w:r w:rsidRPr="00C71AB2">
              <w:rPr>
                <w:rFonts w:ascii="Arial" w:hAnsi="Arial" w:cs="Arial"/>
                <w:szCs w:val="24"/>
              </w:rPr>
              <w:lastRenderedPageBreak/>
              <w:t>esas fechas, lo anterior, con excepción del I y II Circuito Judicial de San José.</w:t>
            </w:r>
          </w:p>
        </w:tc>
        <w:bookmarkStart w:id="27" w:name="_MON_1685976344"/>
        <w:bookmarkEnd w:id="27"/>
        <w:tc>
          <w:tcPr>
            <w:tcW w:w="2134" w:type="dxa"/>
            <w:vAlign w:val="bottom"/>
          </w:tcPr>
          <w:p w14:paraId="48F54260"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object w:dxaOrig="1508" w:dyaOrig="984" w14:anchorId="6BB83146">
                <v:shape id="_x0000_i1027" type="#_x0000_t75" style="width:75.8pt;height:49.1pt" o:ole="">
                  <v:imagedata r:id="rId28" o:title=""/>
                </v:shape>
                <o:OLEObject Type="Embed" ProgID="Word.Document.8" ShapeID="_x0000_i1027" DrawAspect="Icon" ObjectID="_1693911325" r:id="rId29">
                  <o:FieldCodes>\s</o:FieldCodes>
                </o:OLEObject>
              </w:object>
            </w:r>
          </w:p>
        </w:tc>
      </w:tr>
      <w:tr w:rsidR="00E2481B" w14:paraId="13CC5430" w14:textId="77777777" w:rsidTr="00790D79">
        <w:trPr>
          <w:trHeight w:val="110"/>
        </w:trPr>
        <w:tc>
          <w:tcPr>
            <w:tcW w:w="2010" w:type="dxa"/>
            <w:shd w:val="clear" w:color="auto" w:fill="D5DCE4"/>
            <w:vAlign w:val="center"/>
          </w:tcPr>
          <w:p w14:paraId="19CC5ECC"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03-CNFLAG</w:t>
            </w:r>
          </w:p>
        </w:tc>
        <w:tc>
          <w:tcPr>
            <w:tcW w:w="2016" w:type="dxa"/>
          </w:tcPr>
          <w:p w14:paraId="505D82BD" w14:textId="77777777" w:rsidR="00E2481B" w:rsidRDefault="00E2481B" w:rsidP="00790D79">
            <w:pPr>
              <w:spacing w:line="240" w:lineRule="auto"/>
              <w:jc w:val="both"/>
              <w:rPr>
                <w:rFonts w:ascii="Arial" w:hAnsi="Arial" w:cs="Arial"/>
                <w:sz w:val="24"/>
                <w:szCs w:val="24"/>
              </w:rPr>
            </w:pPr>
            <w:r w:rsidRPr="00F556B6">
              <w:rPr>
                <w:rFonts w:ascii="Arial" w:hAnsi="Arial" w:cs="Arial"/>
              </w:rPr>
              <w:t>Continuidad del servicio en las Secciones de Flagrancia en tiempos de pandemia covid-19</w:t>
            </w:r>
          </w:p>
        </w:tc>
        <w:tc>
          <w:tcPr>
            <w:tcW w:w="2611" w:type="dxa"/>
          </w:tcPr>
          <w:p w14:paraId="2E6D6334" w14:textId="77777777" w:rsidR="00E2481B" w:rsidRPr="00F556B6" w:rsidRDefault="00E2481B" w:rsidP="00790D79">
            <w:pPr>
              <w:jc w:val="both"/>
              <w:rPr>
                <w:rFonts w:ascii="Arial" w:hAnsi="Arial" w:cs="Arial"/>
              </w:rPr>
            </w:pPr>
            <w:r w:rsidRPr="00F556B6">
              <w:rPr>
                <w:rFonts w:ascii="Arial" w:hAnsi="Arial" w:cs="Arial"/>
              </w:rPr>
              <w:t>La consulta se encuentra solventada con lo dispuesto en la circular No. 57-2020, en el tanto para la funcionalidad del procedimiento de Flagrancia se establece que las diligencias que deben realizarse durante la atención de la emergencia, son: ·       Audiencias iniciales (no se excluyen las de personas que se encuentran en libertad). · Rebeldías. · Continuaciones de audiencias iniciales. · Juicios de personas privadas de libertad. ·Sentencias escritas (sobreseimientos, abreviados).</w:t>
            </w:r>
          </w:p>
        </w:tc>
        <w:bookmarkStart w:id="28" w:name="_MON_1685191183"/>
        <w:bookmarkEnd w:id="28"/>
        <w:tc>
          <w:tcPr>
            <w:tcW w:w="2134" w:type="dxa"/>
            <w:vAlign w:val="center"/>
          </w:tcPr>
          <w:p w14:paraId="358393DD"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object w:dxaOrig="1508" w:dyaOrig="984" w14:anchorId="1447453D">
                <v:shape id="_x0000_i1028" type="#_x0000_t75" style="width:75.8pt;height:49.1pt" o:ole="">
                  <v:imagedata r:id="rId30" o:title=""/>
                </v:shape>
                <o:OLEObject Type="Embed" ProgID="Word.Document.8" ShapeID="_x0000_i1028" DrawAspect="Icon" ObjectID="_1693911326" r:id="rId31">
                  <o:FieldCodes>\s</o:FieldCodes>
                </o:OLEObject>
              </w:object>
            </w:r>
          </w:p>
        </w:tc>
      </w:tr>
      <w:tr w:rsidR="00E2481B" w14:paraId="6C3C37CD" w14:textId="77777777" w:rsidTr="00790D79">
        <w:trPr>
          <w:trHeight w:val="200"/>
        </w:trPr>
        <w:tc>
          <w:tcPr>
            <w:tcW w:w="2010" w:type="dxa"/>
            <w:shd w:val="clear" w:color="auto" w:fill="D5DCE4"/>
            <w:vAlign w:val="center"/>
          </w:tcPr>
          <w:p w14:paraId="20C6732E"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04-CNFLAG</w:t>
            </w:r>
          </w:p>
        </w:tc>
        <w:tc>
          <w:tcPr>
            <w:tcW w:w="2016" w:type="dxa"/>
          </w:tcPr>
          <w:p w14:paraId="783D78F5" w14:textId="77777777" w:rsidR="00E2481B" w:rsidRPr="008D3257" w:rsidRDefault="00E2481B" w:rsidP="00790D79">
            <w:pPr>
              <w:spacing w:after="0" w:line="240" w:lineRule="auto"/>
              <w:jc w:val="both"/>
              <w:rPr>
                <w:rFonts w:ascii="Arial" w:hAnsi="Arial" w:cs="Arial"/>
                <w:szCs w:val="24"/>
              </w:rPr>
            </w:pPr>
            <w:r w:rsidRPr="008D3257">
              <w:rPr>
                <w:rFonts w:ascii="Arial" w:hAnsi="Arial" w:cs="Arial"/>
                <w:szCs w:val="24"/>
              </w:rPr>
              <w:t xml:space="preserve">Cierres colectivos, Jueves y Viernes Santos. Incompetencia en causas tramitadas en flagrancia. </w:t>
            </w:r>
          </w:p>
          <w:p w14:paraId="6956599E" w14:textId="77777777" w:rsidR="00E2481B" w:rsidRPr="008D3257" w:rsidRDefault="00E2481B" w:rsidP="00790D79">
            <w:pPr>
              <w:spacing w:after="0" w:line="240" w:lineRule="auto"/>
              <w:jc w:val="both"/>
              <w:rPr>
                <w:rFonts w:ascii="Arial" w:hAnsi="Arial" w:cs="Arial"/>
                <w:sz w:val="24"/>
                <w:szCs w:val="24"/>
              </w:rPr>
            </w:pPr>
          </w:p>
        </w:tc>
        <w:tc>
          <w:tcPr>
            <w:tcW w:w="2611" w:type="dxa"/>
          </w:tcPr>
          <w:p w14:paraId="30B9041A" w14:textId="77777777" w:rsidR="00E2481B" w:rsidRPr="008D3257" w:rsidRDefault="00E2481B" w:rsidP="00790D79">
            <w:pPr>
              <w:spacing w:after="0" w:line="240" w:lineRule="auto"/>
              <w:jc w:val="both"/>
              <w:rPr>
                <w:rFonts w:ascii="Arial" w:hAnsi="Arial" w:cs="Arial"/>
                <w:szCs w:val="24"/>
              </w:rPr>
            </w:pPr>
            <w:r w:rsidRPr="008D3257">
              <w:rPr>
                <w:rFonts w:ascii="Arial" w:hAnsi="Arial" w:cs="Arial"/>
                <w:szCs w:val="24"/>
              </w:rPr>
              <w:t xml:space="preserve">Se dispuso que, para los cierres colectivos, Jueves y Viernes Santos, las Secciones de Flagrancia del país, con excepción del Primer y Segundo Circuito Judicial, no deben mantener la apertura efectiva. </w:t>
            </w:r>
          </w:p>
          <w:p w14:paraId="44DF1D08" w14:textId="77777777" w:rsidR="00E2481B" w:rsidRPr="008D3257" w:rsidRDefault="00E2481B" w:rsidP="00790D79">
            <w:pPr>
              <w:spacing w:after="0" w:line="240" w:lineRule="auto"/>
              <w:jc w:val="both"/>
              <w:rPr>
                <w:rFonts w:ascii="Arial" w:hAnsi="Arial" w:cs="Arial"/>
                <w:szCs w:val="24"/>
              </w:rPr>
            </w:pPr>
            <w:r w:rsidRPr="008D3257">
              <w:rPr>
                <w:rFonts w:ascii="Arial" w:hAnsi="Arial" w:cs="Arial"/>
                <w:szCs w:val="24"/>
              </w:rPr>
              <w:t xml:space="preserve">Se establece que la excepción es la declinación del procedimiento de </w:t>
            </w:r>
            <w:r w:rsidRPr="008D3257">
              <w:rPr>
                <w:rFonts w:ascii="Arial" w:hAnsi="Arial" w:cs="Arial"/>
                <w:szCs w:val="24"/>
              </w:rPr>
              <w:lastRenderedPageBreak/>
              <w:t>flagrancia en casos en los que corresponden, la orden es que todo se reciba y la excepción es pasar a ordinario.</w:t>
            </w:r>
          </w:p>
          <w:p w14:paraId="3E698F9A" w14:textId="77777777" w:rsidR="00E2481B" w:rsidRPr="008D3257" w:rsidRDefault="00E2481B" w:rsidP="00790D79">
            <w:pPr>
              <w:spacing w:after="0" w:line="240" w:lineRule="auto"/>
              <w:jc w:val="both"/>
              <w:rPr>
                <w:rFonts w:ascii="Arial" w:hAnsi="Arial" w:cs="Arial"/>
                <w:i/>
                <w:iCs/>
                <w:sz w:val="24"/>
                <w:szCs w:val="24"/>
              </w:rPr>
            </w:pPr>
          </w:p>
        </w:tc>
        <w:bookmarkStart w:id="29" w:name="_MON_1685976576"/>
        <w:bookmarkEnd w:id="29"/>
        <w:tc>
          <w:tcPr>
            <w:tcW w:w="2134" w:type="dxa"/>
            <w:vAlign w:val="bottom"/>
          </w:tcPr>
          <w:p w14:paraId="72B6DCA9"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object w:dxaOrig="1508" w:dyaOrig="984" w14:anchorId="0D3803EA">
                <v:shape id="_x0000_i1029" type="#_x0000_t75" style="width:75.8pt;height:49.1pt" o:ole="">
                  <v:imagedata r:id="rId32" o:title=""/>
                </v:shape>
                <o:OLEObject Type="Embed" ProgID="Word.Document.8" ShapeID="_x0000_i1029" DrawAspect="Icon" ObjectID="_1693911327" r:id="rId33">
                  <o:FieldCodes>\s</o:FieldCodes>
                </o:OLEObject>
              </w:object>
            </w:r>
          </w:p>
        </w:tc>
      </w:tr>
      <w:tr w:rsidR="00E2481B" w14:paraId="53046C2E" w14:textId="77777777" w:rsidTr="00790D79">
        <w:trPr>
          <w:trHeight w:val="236"/>
        </w:trPr>
        <w:tc>
          <w:tcPr>
            <w:tcW w:w="2010" w:type="dxa"/>
            <w:shd w:val="clear" w:color="auto" w:fill="D5DCE4"/>
            <w:vAlign w:val="center"/>
          </w:tcPr>
          <w:p w14:paraId="5D35AFC7"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05-CNFLAG</w:t>
            </w:r>
          </w:p>
        </w:tc>
        <w:tc>
          <w:tcPr>
            <w:tcW w:w="2016" w:type="dxa"/>
          </w:tcPr>
          <w:p w14:paraId="6FA54C51" w14:textId="77777777" w:rsidR="00E2481B" w:rsidRPr="008D3257" w:rsidRDefault="00E2481B" w:rsidP="00790D79">
            <w:pPr>
              <w:spacing w:after="0" w:line="240" w:lineRule="auto"/>
              <w:jc w:val="both"/>
              <w:rPr>
                <w:rFonts w:ascii="Arial" w:hAnsi="Arial" w:cs="Arial"/>
                <w:sz w:val="24"/>
                <w:szCs w:val="24"/>
              </w:rPr>
            </w:pPr>
            <w:r w:rsidRPr="008D3257">
              <w:rPr>
                <w:rFonts w:ascii="Arial" w:hAnsi="Arial" w:cs="Arial"/>
                <w:szCs w:val="24"/>
              </w:rPr>
              <w:t>Se solicita criterio de esta Comisión en torno a una gestión de las personas juzgadoras del Tribunal de Flagrancia de Liberia, sobre su preocupación en torno a una serie de aspectos relacionados con el funcionamiento del procedimiento expedito de flagrancia en esa jurisdicción.</w:t>
            </w:r>
          </w:p>
        </w:tc>
        <w:tc>
          <w:tcPr>
            <w:tcW w:w="2611" w:type="dxa"/>
          </w:tcPr>
          <w:p w14:paraId="336DB643" w14:textId="77777777" w:rsidR="00E2481B" w:rsidRPr="008D3257" w:rsidRDefault="00E2481B" w:rsidP="00790D79">
            <w:pPr>
              <w:spacing w:after="0" w:line="240" w:lineRule="auto"/>
              <w:jc w:val="both"/>
              <w:rPr>
                <w:rFonts w:ascii="Arial" w:hAnsi="Arial" w:cs="Arial"/>
                <w:szCs w:val="24"/>
              </w:rPr>
            </w:pPr>
            <w:r w:rsidRPr="008D3257">
              <w:rPr>
                <w:rFonts w:ascii="Arial" w:hAnsi="Arial" w:cs="Arial"/>
              </w:rPr>
              <w:t xml:space="preserve">La Comisión estima que lo procedente es apegarse al criterio técnico que ha sido conocido por el Consejo Superior y sobre el cual se emitió el pronunciamiento en los términos expuestos. </w:t>
            </w:r>
          </w:p>
          <w:p w14:paraId="12F6057B" w14:textId="77777777" w:rsidR="00E2481B" w:rsidRPr="008D3257" w:rsidRDefault="00E2481B" w:rsidP="00790D79">
            <w:pPr>
              <w:spacing w:after="0" w:line="240" w:lineRule="auto"/>
              <w:jc w:val="both"/>
              <w:rPr>
                <w:rFonts w:ascii="Arial" w:hAnsi="Arial" w:cs="Arial"/>
                <w:sz w:val="24"/>
                <w:szCs w:val="24"/>
              </w:rPr>
            </w:pPr>
          </w:p>
        </w:tc>
        <w:tc>
          <w:tcPr>
            <w:tcW w:w="2134" w:type="dxa"/>
            <w:vAlign w:val="bottom"/>
          </w:tcPr>
          <w:p w14:paraId="033CEAB2"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t xml:space="preserve">         </w:t>
            </w:r>
            <w:bookmarkStart w:id="30" w:name="_MON_1685977045"/>
            <w:bookmarkEnd w:id="30"/>
            <w:r>
              <w:rPr>
                <w:rFonts w:ascii="Arial" w:eastAsia="Times New Roman" w:hAnsi="Arial" w:cs="Arial"/>
                <w:color w:val="000000"/>
                <w:sz w:val="24"/>
                <w:szCs w:val="24"/>
                <w:lang w:eastAsia="es-CR"/>
              </w:rPr>
              <w:object w:dxaOrig="1508" w:dyaOrig="984" w14:anchorId="38FAD7D0">
                <v:shape id="_x0000_i1030" type="#_x0000_t75" style="width:75.8pt;height:49.1pt" o:ole="">
                  <v:imagedata r:id="rId34" o:title=""/>
                </v:shape>
                <o:OLEObject Type="Embed" ProgID="Word.Document.8" ShapeID="_x0000_i1030" DrawAspect="Icon" ObjectID="_1693911328" r:id="rId35">
                  <o:FieldCodes>\s</o:FieldCodes>
                </o:OLEObject>
              </w:object>
            </w:r>
            <w:r>
              <w:rPr>
                <w:rFonts w:ascii="Arial" w:eastAsia="Times New Roman" w:hAnsi="Arial" w:cs="Arial"/>
                <w:color w:val="000000"/>
                <w:sz w:val="24"/>
                <w:szCs w:val="24"/>
                <w:lang w:eastAsia="es-CR"/>
              </w:rPr>
              <w:t xml:space="preserve"> </w:t>
            </w:r>
          </w:p>
        </w:tc>
      </w:tr>
      <w:tr w:rsidR="00E2481B" w14:paraId="03ADC513" w14:textId="77777777" w:rsidTr="00790D79">
        <w:trPr>
          <w:trHeight w:val="273"/>
        </w:trPr>
        <w:tc>
          <w:tcPr>
            <w:tcW w:w="2010" w:type="dxa"/>
            <w:shd w:val="clear" w:color="auto" w:fill="D5DCE4"/>
            <w:vAlign w:val="center"/>
          </w:tcPr>
          <w:p w14:paraId="6BB6FF6C"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06-CNFLAG</w:t>
            </w:r>
          </w:p>
        </w:tc>
        <w:tc>
          <w:tcPr>
            <w:tcW w:w="2016" w:type="dxa"/>
          </w:tcPr>
          <w:p w14:paraId="6671B37D" w14:textId="77777777" w:rsidR="00E2481B" w:rsidRPr="007A644F" w:rsidRDefault="00E2481B" w:rsidP="00790D79">
            <w:pPr>
              <w:spacing w:after="0" w:line="240" w:lineRule="auto"/>
              <w:jc w:val="both"/>
              <w:rPr>
                <w:rFonts w:ascii="Arial" w:hAnsi="Arial" w:cs="Arial"/>
                <w:szCs w:val="24"/>
              </w:rPr>
            </w:pPr>
            <w:r w:rsidRPr="007A644F">
              <w:rPr>
                <w:rFonts w:ascii="Arial" w:hAnsi="Arial" w:cs="Arial"/>
                <w:szCs w:val="24"/>
              </w:rPr>
              <w:t xml:space="preserve">Rediseño de Procesos de la Sección de Flagrancia del Tribunal Penal de Limón. </w:t>
            </w:r>
          </w:p>
          <w:p w14:paraId="32FFB9EC" w14:textId="77777777" w:rsidR="00E2481B" w:rsidRPr="007A644F" w:rsidRDefault="00E2481B" w:rsidP="00790D79">
            <w:pPr>
              <w:spacing w:after="0" w:line="240" w:lineRule="auto"/>
              <w:jc w:val="both"/>
              <w:rPr>
                <w:rFonts w:ascii="Arial" w:hAnsi="Arial" w:cs="Arial"/>
                <w:sz w:val="24"/>
                <w:szCs w:val="24"/>
              </w:rPr>
            </w:pPr>
          </w:p>
        </w:tc>
        <w:tc>
          <w:tcPr>
            <w:tcW w:w="2611" w:type="dxa"/>
          </w:tcPr>
          <w:p w14:paraId="178C61B6" w14:textId="77777777" w:rsidR="00E2481B" w:rsidRPr="007A644F" w:rsidRDefault="00E2481B" w:rsidP="00790D79">
            <w:pPr>
              <w:spacing w:after="0" w:line="240" w:lineRule="auto"/>
              <w:jc w:val="both"/>
              <w:rPr>
                <w:rFonts w:ascii="Arial" w:hAnsi="Arial" w:cs="Arial"/>
                <w:szCs w:val="24"/>
              </w:rPr>
            </w:pPr>
            <w:r w:rsidRPr="007A644F">
              <w:rPr>
                <w:rFonts w:ascii="Arial" w:hAnsi="Arial" w:cs="Arial"/>
                <w:szCs w:val="24"/>
              </w:rPr>
              <w:t>La Comisión Nacional de Flagrancia acuerda recomendar el rediseño de la Sección de Flagrancia del Primer Circuito Judicial de la Zona Atlántica, propuesto por la Dirección de Planificación en el escenario 1, a partir de un cambio de jornada laboral y la asignación de funciones ordinarias de otros procedimientos penales distintos a los de flagrancia.</w:t>
            </w:r>
          </w:p>
          <w:p w14:paraId="7F8D47D3" w14:textId="77777777" w:rsidR="00E2481B" w:rsidRPr="007A644F" w:rsidRDefault="00E2481B" w:rsidP="00790D79">
            <w:pPr>
              <w:spacing w:after="0" w:line="240" w:lineRule="auto"/>
              <w:jc w:val="both"/>
              <w:rPr>
                <w:rFonts w:ascii="Arial" w:hAnsi="Arial" w:cs="Arial"/>
                <w:sz w:val="24"/>
                <w:szCs w:val="24"/>
              </w:rPr>
            </w:pPr>
          </w:p>
        </w:tc>
        <w:bookmarkStart w:id="31" w:name="_MON_1685985103"/>
        <w:bookmarkEnd w:id="31"/>
        <w:tc>
          <w:tcPr>
            <w:tcW w:w="2134" w:type="dxa"/>
            <w:vAlign w:val="bottom"/>
          </w:tcPr>
          <w:p w14:paraId="6A095925"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object w:dxaOrig="1508" w:dyaOrig="984" w14:anchorId="0A361C0F">
                <v:shape id="_x0000_i1031" type="#_x0000_t75" style="width:75.8pt;height:49.1pt" o:ole="">
                  <v:imagedata r:id="rId36" o:title=""/>
                </v:shape>
                <o:OLEObject Type="Embed" ProgID="Word.Document.8" ShapeID="_x0000_i1031" DrawAspect="Icon" ObjectID="_1693911329" r:id="rId37">
                  <o:FieldCodes>\s</o:FieldCodes>
                </o:OLEObject>
              </w:object>
            </w:r>
          </w:p>
        </w:tc>
      </w:tr>
      <w:tr w:rsidR="00E2481B" w14:paraId="7873EC2F" w14:textId="77777777" w:rsidTr="00790D79">
        <w:trPr>
          <w:trHeight w:val="195"/>
        </w:trPr>
        <w:tc>
          <w:tcPr>
            <w:tcW w:w="2010" w:type="dxa"/>
            <w:shd w:val="clear" w:color="auto" w:fill="D5DCE4"/>
            <w:vAlign w:val="center"/>
          </w:tcPr>
          <w:p w14:paraId="3C6E1B35"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lastRenderedPageBreak/>
              <w:t>07-CNFLAG</w:t>
            </w:r>
          </w:p>
        </w:tc>
        <w:tc>
          <w:tcPr>
            <w:tcW w:w="2016" w:type="dxa"/>
          </w:tcPr>
          <w:p w14:paraId="671687A9" w14:textId="77777777" w:rsidR="00E2481B" w:rsidRPr="00486B2F" w:rsidRDefault="00E2481B" w:rsidP="00790D79">
            <w:pPr>
              <w:spacing w:after="0" w:line="240" w:lineRule="auto"/>
              <w:jc w:val="both"/>
              <w:rPr>
                <w:rFonts w:ascii="Arial" w:hAnsi="Arial" w:cs="Arial"/>
              </w:rPr>
            </w:pPr>
            <w:r w:rsidRPr="00486B2F">
              <w:rPr>
                <w:rFonts w:ascii="Arial" w:hAnsi="Arial" w:cs="Arial"/>
              </w:rPr>
              <w:t xml:space="preserve">Consulta de la jueza Maureen Sancho González, coordinadora del Tribunal Penal de Heredia. </w:t>
            </w:r>
          </w:p>
        </w:tc>
        <w:tc>
          <w:tcPr>
            <w:tcW w:w="2611" w:type="dxa"/>
          </w:tcPr>
          <w:p w14:paraId="665F3C34" w14:textId="77777777" w:rsidR="00E2481B" w:rsidRPr="00486B2F" w:rsidRDefault="00E2481B" w:rsidP="00790D79">
            <w:pPr>
              <w:spacing w:after="0" w:line="240" w:lineRule="auto"/>
              <w:jc w:val="both"/>
              <w:rPr>
                <w:rFonts w:ascii="Arial" w:hAnsi="Arial" w:cs="Arial"/>
              </w:rPr>
            </w:pPr>
            <w:r w:rsidRPr="00486B2F">
              <w:rPr>
                <w:rFonts w:ascii="Arial" w:hAnsi="Arial" w:cs="Arial"/>
              </w:rPr>
              <w:t>Se acuerda apoyar la propuesta planteada de trasladar al día a los dos jueces de la Sección de Flagrancia de Heredia, en igual sentido tanto la Fiscalía como la Defensa Pública, están de acuerdo en adoptar las medidas necesarias, para el adecuado funcionamiento de dicho traslado, lo anterior, en el entendido de que se informó por parte de la Dirección de Planificación que ese traslado se contempla dentro de uno de los escenarios propuestos en el informe técnico</w:t>
            </w:r>
          </w:p>
        </w:tc>
        <w:bookmarkStart w:id="32" w:name="_MON_1685985272"/>
        <w:bookmarkEnd w:id="32"/>
        <w:tc>
          <w:tcPr>
            <w:tcW w:w="2134" w:type="dxa"/>
            <w:vAlign w:val="bottom"/>
          </w:tcPr>
          <w:p w14:paraId="6E95809D"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object w:dxaOrig="1508" w:dyaOrig="984" w14:anchorId="58DF2897">
                <v:shape id="_x0000_i1032" type="#_x0000_t75" style="width:75.8pt;height:49.1pt" o:ole="">
                  <v:imagedata r:id="rId38" o:title=""/>
                </v:shape>
                <o:OLEObject Type="Embed" ProgID="Word.Document.8" ShapeID="_x0000_i1032" DrawAspect="Icon" ObjectID="_1693911330" r:id="rId39">
                  <o:FieldCodes>\s</o:FieldCodes>
                </o:OLEObject>
              </w:object>
            </w:r>
          </w:p>
        </w:tc>
      </w:tr>
      <w:tr w:rsidR="00E2481B" w14:paraId="76E71A31" w14:textId="77777777" w:rsidTr="00790D79">
        <w:trPr>
          <w:trHeight w:val="236"/>
        </w:trPr>
        <w:tc>
          <w:tcPr>
            <w:tcW w:w="2010" w:type="dxa"/>
            <w:shd w:val="clear" w:color="auto" w:fill="D5DCE4"/>
            <w:vAlign w:val="center"/>
          </w:tcPr>
          <w:p w14:paraId="1238CFAC"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08-CNFLAG</w:t>
            </w:r>
          </w:p>
        </w:tc>
        <w:tc>
          <w:tcPr>
            <w:tcW w:w="2016" w:type="dxa"/>
          </w:tcPr>
          <w:p w14:paraId="2883B20F" w14:textId="77777777" w:rsidR="00E2481B" w:rsidRPr="00D038D5" w:rsidRDefault="00E2481B" w:rsidP="00790D79">
            <w:pPr>
              <w:spacing w:after="0" w:line="240" w:lineRule="auto"/>
              <w:jc w:val="both"/>
              <w:rPr>
                <w:rFonts w:ascii="Arial" w:hAnsi="Arial" w:cs="Arial"/>
              </w:rPr>
            </w:pPr>
            <w:r w:rsidRPr="00D038D5">
              <w:rPr>
                <w:rFonts w:ascii="Arial" w:hAnsi="Arial" w:cs="Arial"/>
              </w:rPr>
              <w:t xml:space="preserve">Se solicita informar sobre </w:t>
            </w:r>
            <w:r w:rsidRPr="00D038D5">
              <w:rPr>
                <w:rFonts w:ascii="Arial" w:hAnsi="Arial" w:cs="Arial"/>
                <w:lang w:eastAsia="es-CR"/>
              </w:rPr>
              <w:t xml:space="preserve">la </w:t>
            </w:r>
            <w:r w:rsidRPr="00D038D5">
              <w:rPr>
                <w:rFonts w:ascii="Arial" w:hAnsi="Arial" w:cs="Arial"/>
              </w:rPr>
              <w:t>efectiva vigencia, de la Comisión Nacional de Flagrancia, así como de la necesidad de continuar operando en atención al cumplimiento de los fines que orientaron su creación.</w:t>
            </w:r>
          </w:p>
        </w:tc>
        <w:tc>
          <w:tcPr>
            <w:tcW w:w="2611" w:type="dxa"/>
          </w:tcPr>
          <w:p w14:paraId="5F52A23E"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t xml:space="preserve">Informe sobre las funciones y tareas pendientes de la Comisión Nacional de Flagrancia. </w:t>
            </w:r>
          </w:p>
        </w:tc>
        <w:bookmarkStart w:id="33" w:name="_MON_1685986172"/>
        <w:bookmarkEnd w:id="33"/>
        <w:tc>
          <w:tcPr>
            <w:tcW w:w="2134" w:type="dxa"/>
            <w:vAlign w:val="bottom"/>
          </w:tcPr>
          <w:p w14:paraId="00271897" w14:textId="77777777" w:rsidR="00E2481B" w:rsidRDefault="00E2481B" w:rsidP="00790D79">
            <w:pPr>
              <w:spacing w:line="240" w:lineRule="auto"/>
              <w:jc w:val="both"/>
              <w:rPr>
                <w:rFonts w:ascii="Arial" w:hAnsi="Arial" w:cs="Arial"/>
                <w:sz w:val="24"/>
                <w:szCs w:val="24"/>
              </w:rPr>
            </w:pPr>
            <w:r>
              <w:rPr>
                <w:rFonts w:ascii="Arial" w:eastAsia="Times New Roman" w:hAnsi="Arial" w:cs="Arial"/>
                <w:color w:val="000000"/>
                <w:sz w:val="24"/>
                <w:szCs w:val="24"/>
                <w:lang w:eastAsia="es-CR"/>
              </w:rPr>
              <w:object w:dxaOrig="1508" w:dyaOrig="984" w14:anchorId="04250B17">
                <v:shape id="_x0000_i1033" type="#_x0000_t75" style="width:75.8pt;height:49.1pt" o:ole="">
                  <v:imagedata r:id="rId40" o:title=""/>
                </v:shape>
                <o:OLEObject Type="Embed" ProgID="Word.Document.8" ShapeID="_x0000_i1033" DrawAspect="Icon" ObjectID="_1693911331" r:id="rId41">
                  <o:FieldCodes>\s</o:FieldCodes>
                </o:OLEObject>
              </w:object>
            </w:r>
          </w:p>
        </w:tc>
      </w:tr>
      <w:tr w:rsidR="00E2481B" w14:paraId="029ED31A" w14:textId="77777777" w:rsidTr="00790D79">
        <w:trPr>
          <w:trHeight w:val="195"/>
        </w:trPr>
        <w:tc>
          <w:tcPr>
            <w:tcW w:w="2010" w:type="dxa"/>
            <w:shd w:val="clear" w:color="auto" w:fill="D5DCE4"/>
            <w:vAlign w:val="center"/>
          </w:tcPr>
          <w:p w14:paraId="1AE4B2A1"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0</w:t>
            </w:r>
            <w:r w:rsidRPr="00F631ED">
              <w:rPr>
                <w:rFonts w:ascii="Arial" w:eastAsia="Times New Roman" w:hAnsi="Arial" w:cs="Arial"/>
                <w:color w:val="000000"/>
                <w:sz w:val="24"/>
                <w:szCs w:val="24"/>
                <w:lang w:eastAsia="es-CR"/>
              </w:rPr>
              <w:t>9-CNFLAG</w:t>
            </w:r>
          </w:p>
        </w:tc>
        <w:tc>
          <w:tcPr>
            <w:tcW w:w="2016" w:type="dxa"/>
          </w:tcPr>
          <w:p w14:paraId="52A590D8" w14:textId="77777777" w:rsidR="00E2481B" w:rsidRPr="00EE1920" w:rsidRDefault="00E2481B" w:rsidP="00790D79">
            <w:pPr>
              <w:spacing w:after="0" w:line="240" w:lineRule="auto"/>
              <w:jc w:val="both"/>
              <w:rPr>
                <w:rFonts w:ascii="Arial" w:hAnsi="Arial" w:cs="Arial"/>
              </w:rPr>
            </w:pPr>
            <w:r w:rsidRPr="00EE1920">
              <w:rPr>
                <w:rFonts w:ascii="Arial" w:eastAsia="Times New Roman" w:hAnsi="Arial" w:cs="Arial"/>
              </w:rPr>
              <w:t xml:space="preserve">La Sala Constitucional tramitó el recurso de hábeas corpus N° 20-018192-0007-CO, interpuesto por Jonathan Argüello Coto, a favor de Rodolfo Wilson Williams, contra el </w:t>
            </w:r>
            <w:r w:rsidRPr="00EE1920">
              <w:rPr>
                <w:rFonts w:ascii="Arial" w:eastAsia="Times New Roman" w:hAnsi="Arial" w:cs="Arial"/>
              </w:rPr>
              <w:lastRenderedPageBreak/>
              <w:t>Tribunal Penal de Flagrancia del Primer Circuito Judicial de la Zona Atlántica, Limón.</w:t>
            </w:r>
          </w:p>
        </w:tc>
        <w:tc>
          <w:tcPr>
            <w:tcW w:w="2611" w:type="dxa"/>
          </w:tcPr>
          <w:p w14:paraId="34B29DD0" w14:textId="77777777" w:rsidR="00E2481B" w:rsidRPr="00EE1920" w:rsidRDefault="00E2481B" w:rsidP="00790D79">
            <w:pPr>
              <w:spacing w:after="0" w:line="240" w:lineRule="auto"/>
              <w:ind w:left="28" w:right="14"/>
              <w:jc w:val="both"/>
              <w:rPr>
                <w:rFonts w:ascii="Arial" w:hAnsi="Arial" w:cs="Arial"/>
              </w:rPr>
            </w:pPr>
            <w:r w:rsidRPr="00EE1920">
              <w:rPr>
                <w:rFonts w:ascii="Arial" w:eastAsia="Times New Roman" w:hAnsi="Arial" w:cs="Arial"/>
              </w:rPr>
              <w:lastRenderedPageBreak/>
              <w:t xml:space="preserve">La magistrada Patricia Solano Castro rinde informe, en su condición de presidenta de la Comisión Nacional de Flagrancia, aclarando lo correspondiente al funcionamiento de la materia penal y las disposiciones </w:t>
            </w:r>
            <w:r w:rsidRPr="00EE1920">
              <w:rPr>
                <w:rFonts w:ascii="Arial" w:eastAsia="Times New Roman" w:hAnsi="Arial" w:cs="Arial"/>
              </w:rPr>
              <w:lastRenderedPageBreak/>
              <w:t xml:space="preserve">institucional atinentes a la materia de flagrancia. </w:t>
            </w:r>
          </w:p>
          <w:p w14:paraId="435D0B41" w14:textId="77777777" w:rsidR="00E2481B" w:rsidRPr="00EE1920" w:rsidRDefault="00E2481B" w:rsidP="00790D79">
            <w:pPr>
              <w:spacing w:after="0" w:line="240" w:lineRule="auto"/>
              <w:jc w:val="both"/>
              <w:rPr>
                <w:rFonts w:ascii="Arial" w:hAnsi="Arial" w:cs="Arial"/>
              </w:rPr>
            </w:pPr>
          </w:p>
        </w:tc>
        <w:bookmarkStart w:id="34" w:name="_MON_1685986432"/>
        <w:bookmarkEnd w:id="34"/>
        <w:tc>
          <w:tcPr>
            <w:tcW w:w="2134" w:type="dxa"/>
            <w:vAlign w:val="bottom"/>
          </w:tcPr>
          <w:p w14:paraId="63859C85" w14:textId="77777777" w:rsidR="00E2481B" w:rsidRPr="00F631ED"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1C2729DB">
                <v:shape id="_x0000_i1034" type="#_x0000_t75" style="width:75.8pt;height:49.1pt" o:ole="">
                  <v:imagedata r:id="rId42" o:title=""/>
                </v:shape>
                <o:OLEObject Type="Embed" ProgID="Word.Document.8" ShapeID="_x0000_i1034" DrawAspect="Icon" ObjectID="_1693911332" r:id="rId43">
                  <o:FieldCodes>\s</o:FieldCodes>
                </o:OLEObject>
              </w:object>
            </w:r>
          </w:p>
          <w:p w14:paraId="17D28757" w14:textId="77777777" w:rsidR="00E2481B" w:rsidRDefault="00E2481B" w:rsidP="00790D79">
            <w:pPr>
              <w:spacing w:line="240" w:lineRule="auto"/>
              <w:jc w:val="both"/>
              <w:rPr>
                <w:rFonts w:ascii="Arial" w:hAnsi="Arial" w:cs="Arial"/>
                <w:sz w:val="24"/>
                <w:szCs w:val="24"/>
              </w:rPr>
            </w:pPr>
          </w:p>
        </w:tc>
      </w:tr>
      <w:tr w:rsidR="00E2481B" w14:paraId="403D2740" w14:textId="77777777" w:rsidTr="00790D79">
        <w:trPr>
          <w:trHeight w:val="242"/>
        </w:trPr>
        <w:tc>
          <w:tcPr>
            <w:tcW w:w="2010" w:type="dxa"/>
            <w:shd w:val="clear" w:color="auto" w:fill="D5DCE4"/>
            <w:vAlign w:val="center"/>
          </w:tcPr>
          <w:p w14:paraId="22152C4B"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10-CNFLAG</w:t>
            </w:r>
          </w:p>
        </w:tc>
        <w:tc>
          <w:tcPr>
            <w:tcW w:w="2016" w:type="dxa"/>
          </w:tcPr>
          <w:p w14:paraId="2150F44B" w14:textId="77777777" w:rsidR="00E2481B" w:rsidRPr="00B9316F" w:rsidRDefault="00E2481B" w:rsidP="00790D79">
            <w:pPr>
              <w:widowControl w:val="0"/>
              <w:autoSpaceDE w:val="0"/>
              <w:autoSpaceDN w:val="0"/>
              <w:spacing w:after="0" w:line="240" w:lineRule="auto"/>
              <w:jc w:val="both"/>
              <w:rPr>
                <w:rFonts w:ascii="Arial" w:hAnsi="Arial" w:cs="Arial"/>
              </w:rPr>
            </w:pPr>
            <w:r w:rsidRPr="00B9316F">
              <w:rPr>
                <w:rFonts w:ascii="Arial" w:hAnsi="Arial" w:cs="Arial"/>
              </w:rPr>
              <w:t xml:space="preserve">Informe de labores correspondiente a las acciones realizadas por la Comisión Nacional de Flagrancia durante el año 2020. </w:t>
            </w:r>
          </w:p>
        </w:tc>
        <w:tc>
          <w:tcPr>
            <w:tcW w:w="2611" w:type="dxa"/>
          </w:tcPr>
          <w:p w14:paraId="39B8B0D2" w14:textId="77777777" w:rsidR="00E2481B" w:rsidRPr="00B9316F" w:rsidRDefault="00E2481B" w:rsidP="00790D79">
            <w:pPr>
              <w:widowControl w:val="0"/>
              <w:autoSpaceDE w:val="0"/>
              <w:autoSpaceDN w:val="0"/>
              <w:spacing w:after="0" w:line="240" w:lineRule="auto"/>
              <w:jc w:val="both"/>
              <w:rPr>
                <w:rFonts w:ascii="Arial" w:hAnsi="Arial" w:cs="Arial"/>
              </w:rPr>
            </w:pPr>
            <w:r w:rsidRPr="00B9316F">
              <w:rPr>
                <w:rFonts w:ascii="Arial" w:hAnsi="Arial" w:cs="Arial"/>
              </w:rPr>
              <w:t>Se rinde informe anual con el propósito de ser incluido en la rendición de cuentas del Poder Judicial de Costa Rica para el año 2021.</w:t>
            </w:r>
          </w:p>
          <w:p w14:paraId="7D643E61" w14:textId="77777777" w:rsidR="00E2481B" w:rsidRPr="00B9316F" w:rsidRDefault="00E2481B" w:rsidP="00790D79">
            <w:pPr>
              <w:spacing w:after="0" w:line="240" w:lineRule="auto"/>
              <w:jc w:val="both"/>
              <w:rPr>
                <w:rFonts w:ascii="Arial" w:hAnsi="Arial" w:cs="Arial"/>
              </w:rPr>
            </w:pPr>
          </w:p>
        </w:tc>
        <w:bookmarkStart w:id="35" w:name="_MON_1685987671"/>
        <w:bookmarkEnd w:id="35"/>
        <w:tc>
          <w:tcPr>
            <w:tcW w:w="2134" w:type="dxa"/>
            <w:vAlign w:val="bottom"/>
          </w:tcPr>
          <w:p w14:paraId="09BA0421"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257D6863">
                <v:shape id="_x0000_i1035" type="#_x0000_t75" style="width:75.8pt;height:49.1pt" o:ole="">
                  <v:imagedata r:id="rId44" o:title=""/>
                </v:shape>
                <o:OLEObject Type="Embed" ProgID="Word.Document.8" ShapeID="_x0000_i1035" DrawAspect="Icon" ObjectID="_1693911333" r:id="rId45">
                  <o:FieldCodes>\s</o:FieldCodes>
                </o:OLEObject>
              </w:object>
            </w:r>
          </w:p>
        </w:tc>
      </w:tr>
      <w:tr w:rsidR="00E2481B" w14:paraId="440202F5" w14:textId="77777777" w:rsidTr="00790D79">
        <w:trPr>
          <w:trHeight w:val="184"/>
        </w:trPr>
        <w:tc>
          <w:tcPr>
            <w:tcW w:w="2010" w:type="dxa"/>
            <w:shd w:val="clear" w:color="auto" w:fill="D5DCE4"/>
            <w:vAlign w:val="center"/>
          </w:tcPr>
          <w:p w14:paraId="0517A41C"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11-CNFLAG</w:t>
            </w:r>
          </w:p>
        </w:tc>
        <w:tc>
          <w:tcPr>
            <w:tcW w:w="2016" w:type="dxa"/>
          </w:tcPr>
          <w:p w14:paraId="76FF8230" w14:textId="77777777" w:rsidR="00E2481B" w:rsidRPr="00B9316F" w:rsidRDefault="00E2481B" w:rsidP="00790D79">
            <w:pPr>
              <w:spacing w:after="0" w:line="240" w:lineRule="auto"/>
              <w:jc w:val="both"/>
              <w:rPr>
                <w:rFonts w:ascii="Arial" w:hAnsi="Arial" w:cs="Arial"/>
              </w:rPr>
            </w:pPr>
            <w:r w:rsidRPr="00B9316F">
              <w:rPr>
                <w:rFonts w:ascii="Arial" w:hAnsi="Arial" w:cs="Arial"/>
              </w:rPr>
              <w:t>La jueza Mauren Sancho, coordinadora del Tribunal Penal de Heredia, solicita se valore la asignación de una plaza de juez/a de trámite y de una plaza de técnico/a judicial para que brinde soporte a las secciones de Flagrancia del Tribunal Penal de Heredia.</w:t>
            </w:r>
          </w:p>
        </w:tc>
        <w:tc>
          <w:tcPr>
            <w:tcW w:w="2611" w:type="dxa"/>
          </w:tcPr>
          <w:p w14:paraId="4332583C" w14:textId="77777777" w:rsidR="00E2481B" w:rsidRPr="00B9316F" w:rsidRDefault="00E2481B" w:rsidP="00790D79">
            <w:pPr>
              <w:widowControl w:val="0"/>
              <w:autoSpaceDE w:val="0"/>
              <w:autoSpaceDN w:val="0"/>
              <w:spacing w:after="0" w:line="240" w:lineRule="auto"/>
              <w:jc w:val="both"/>
              <w:rPr>
                <w:rFonts w:ascii="Arial" w:hAnsi="Arial" w:cs="Arial"/>
              </w:rPr>
            </w:pPr>
            <w:r w:rsidRPr="00B9316F">
              <w:rPr>
                <w:rFonts w:ascii="Arial" w:hAnsi="Arial" w:cs="Arial"/>
              </w:rPr>
              <w:t>Se acuerda, comunicar que no es posible aprobar la asignación de recurso adicional para dicho Tribunal, toda vez que, con base en el informe técnico de la Dirección de Planificación, en el cual se refleja el poco trabajo producido por la Sección de Flagrancia de Heredia. Además, cabe indicar que el Tribunal Penal de Heredia debe redireccionar sus acciones con el recurso humano con la cuenta actualmente.</w:t>
            </w:r>
          </w:p>
        </w:tc>
        <w:bookmarkStart w:id="36" w:name="_MON_1685988013"/>
        <w:bookmarkEnd w:id="36"/>
        <w:tc>
          <w:tcPr>
            <w:tcW w:w="2134" w:type="dxa"/>
            <w:vAlign w:val="bottom"/>
          </w:tcPr>
          <w:p w14:paraId="7D6FC5BE"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571A6FC9">
                <v:shape id="_x0000_i1036" type="#_x0000_t75" style="width:75.8pt;height:49.1pt" o:ole="">
                  <v:imagedata r:id="rId46" o:title=""/>
                </v:shape>
                <o:OLEObject Type="Embed" ProgID="Word.Document.8" ShapeID="_x0000_i1036" DrawAspect="Icon" ObjectID="_1693911334" r:id="rId47">
                  <o:FieldCodes>\s</o:FieldCodes>
                </o:OLEObject>
              </w:object>
            </w:r>
          </w:p>
        </w:tc>
      </w:tr>
      <w:tr w:rsidR="00E2481B" w14:paraId="1EB05984" w14:textId="77777777" w:rsidTr="00790D79">
        <w:trPr>
          <w:trHeight w:val="252"/>
        </w:trPr>
        <w:tc>
          <w:tcPr>
            <w:tcW w:w="2010" w:type="dxa"/>
            <w:shd w:val="clear" w:color="auto" w:fill="D5DCE4"/>
            <w:vAlign w:val="center"/>
          </w:tcPr>
          <w:p w14:paraId="1C385170"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12-CNFLAG</w:t>
            </w:r>
          </w:p>
        </w:tc>
        <w:tc>
          <w:tcPr>
            <w:tcW w:w="2016" w:type="dxa"/>
          </w:tcPr>
          <w:p w14:paraId="379906C3" w14:textId="77777777" w:rsidR="00E2481B" w:rsidRPr="0014306E" w:rsidRDefault="00E2481B" w:rsidP="00790D79">
            <w:pPr>
              <w:spacing w:after="0" w:line="240" w:lineRule="auto"/>
              <w:jc w:val="both"/>
              <w:rPr>
                <w:rFonts w:ascii="Arial" w:hAnsi="Arial" w:cs="Arial"/>
              </w:rPr>
            </w:pPr>
            <w:r w:rsidRPr="0014306E">
              <w:rPr>
                <w:rFonts w:ascii="Arial" w:hAnsi="Arial" w:cs="Arial"/>
              </w:rPr>
              <w:t>Apoyo de las secciones de flagrancia a las secciones ordinarias.</w:t>
            </w:r>
          </w:p>
        </w:tc>
        <w:tc>
          <w:tcPr>
            <w:tcW w:w="2611" w:type="dxa"/>
          </w:tcPr>
          <w:p w14:paraId="04A52EDA" w14:textId="77777777" w:rsidR="00E2481B" w:rsidRPr="0014306E" w:rsidRDefault="00E2481B" w:rsidP="00790D79">
            <w:pPr>
              <w:spacing w:after="0" w:line="240" w:lineRule="auto"/>
              <w:jc w:val="both"/>
              <w:rPr>
                <w:rFonts w:ascii="Arial" w:hAnsi="Arial" w:cs="Arial"/>
              </w:rPr>
            </w:pPr>
            <w:r w:rsidRPr="0014306E">
              <w:rPr>
                <w:rFonts w:ascii="Arial" w:hAnsi="Arial" w:cs="Arial"/>
              </w:rPr>
              <w:t xml:space="preserve">Se acuerda apoyar la propuesta para que las secciones de flagrancia de todo el país, atiendan audiencias tempranas, y que además den apoyo a las secciones ordinarias celebrando debates preferentemente de personas privadas de libertad, durante los cierres colectivos, hacer este acuerdo de conocimiento por parte </w:t>
            </w:r>
            <w:r w:rsidRPr="0014306E">
              <w:rPr>
                <w:rFonts w:ascii="Arial" w:hAnsi="Arial" w:cs="Arial"/>
              </w:rPr>
              <w:lastRenderedPageBreak/>
              <w:t>del Consejo Superior. Cabe mencionar que en el presente acuerdo se encontraban presentes los Gestores de la Jurisdicción Penal, quienes manifestaron su anuencia.</w:t>
            </w:r>
          </w:p>
        </w:tc>
        <w:bookmarkStart w:id="37" w:name="_MON_1685988387"/>
        <w:bookmarkEnd w:id="37"/>
        <w:tc>
          <w:tcPr>
            <w:tcW w:w="2134" w:type="dxa"/>
            <w:vAlign w:val="bottom"/>
          </w:tcPr>
          <w:p w14:paraId="500303A9"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2C3F5959">
                <v:shape id="_x0000_i1037" type="#_x0000_t75" style="width:75.8pt;height:49.1pt" o:ole="">
                  <v:imagedata r:id="rId48" o:title=""/>
                </v:shape>
                <o:OLEObject Type="Embed" ProgID="Word.Document.8" ShapeID="_x0000_i1037" DrawAspect="Icon" ObjectID="_1693911335" r:id="rId49">
                  <o:FieldCodes>\s</o:FieldCodes>
                </o:OLEObject>
              </w:object>
            </w:r>
          </w:p>
        </w:tc>
      </w:tr>
      <w:tr w:rsidR="00E2481B" w14:paraId="152AB3BF" w14:textId="77777777" w:rsidTr="00790D79">
        <w:trPr>
          <w:trHeight w:val="195"/>
        </w:trPr>
        <w:tc>
          <w:tcPr>
            <w:tcW w:w="2010" w:type="dxa"/>
            <w:shd w:val="clear" w:color="auto" w:fill="D5DCE4"/>
            <w:vAlign w:val="center"/>
          </w:tcPr>
          <w:p w14:paraId="6E66DEBD"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13-CNFLAG</w:t>
            </w:r>
          </w:p>
        </w:tc>
        <w:tc>
          <w:tcPr>
            <w:tcW w:w="2016" w:type="dxa"/>
          </w:tcPr>
          <w:p w14:paraId="7B7BE4EE" w14:textId="77777777" w:rsidR="00E2481B" w:rsidRPr="00992A03" w:rsidRDefault="00E2481B" w:rsidP="00790D79">
            <w:pPr>
              <w:spacing w:after="0" w:line="240" w:lineRule="auto"/>
              <w:jc w:val="both"/>
              <w:rPr>
                <w:rFonts w:ascii="Arial" w:hAnsi="Arial" w:cs="Arial"/>
              </w:rPr>
            </w:pPr>
            <w:r w:rsidRPr="00992A03">
              <w:rPr>
                <w:rFonts w:ascii="Arial" w:hAnsi="Arial" w:cs="Arial"/>
              </w:rPr>
              <w:t>Propuesta de la Dirección de Planificación para que las Secciones de Flagrancia realicen juicios durante el cierre colectivo 2020-2021.</w:t>
            </w:r>
          </w:p>
        </w:tc>
        <w:tc>
          <w:tcPr>
            <w:tcW w:w="2611" w:type="dxa"/>
          </w:tcPr>
          <w:p w14:paraId="5B0A6A6E" w14:textId="77777777" w:rsidR="00E2481B" w:rsidRPr="00992A03" w:rsidRDefault="00E2481B" w:rsidP="00790D79">
            <w:pPr>
              <w:spacing w:after="0" w:line="240" w:lineRule="auto"/>
              <w:jc w:val="both"/>
              <w:rPr>
                <w:rFonts w:ascii="Arial" w:hAnsi="Arial" w:cs="Arial"/>
              </w:rPr>
            </w:pPr>
            <w:r w:rsidRPr="00992A03">
              <w:rPr>
                <w:rFonts w:ascii="Arial" w:hAnsi="Arial" w:cs="Arial"/>
              </w:rPr>
              <w:t xml:space="preserve">Se acuerda aprobar la propuesta de la Dirección de Planificación. </w:t>
            </w:r>
          </w:p>
        </w:tc>
        <w:bookmarkStart w:id="38" w:name="_MON_1685988732"/>
        <w:bookmarkEnd w:id="38"/>
        <w:tc>
          <w:tcPr>
            <w:tcW w:w="2134" w:type="dxa"/>
            <w:vAlign w:val="bottom"/>
          </w:tcPr>
          <w:p w14:paraId="39A1F46C"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15537151">
                <v:shape id="_x0000_i1038" type="#_x0000_t75" style="width:75.8pt;height:49.1pt" o:ole="">
                  <v:imagedata r:id="rId50" o:title=""/>
                </v:shape>
                <o:OLEObject Type="Embed" ProgID="Word.Document.8" ShapeID="_x0000_i1038" DrawAspect="Icon" ObjectID="_1693911336" r:id="rId51">
                  <o:FieldCodes>\s</o:FieldCodes>
                </o:OLEObject>
              </w:object>
            </w:r>
          </w:p>
        </w:tc>
      </w:tr>
      <w:tr w:rsidR="00E2481B" w14:paraId="6E6F6644" w14:textId="77777777" w:rsidTr="00790D79">
        <w:trPr>
          <w:trHeight w:val="242"/>
        </w:trPr>
        <w:tc>
          <w:tcPr>
            <w:tcW w:w="2010" w:type="dxa"/>
            <w:shd w:val="clear" w:color="auto" w:fill="D5DCE4"/>
            <w:vAlign w:val="center"/>
          </w:tcPr>
          <w:p w14:paraId="223E5811"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14-CNFLAG</w:t>
            </w:r>
          </w:p>
        </w:tc>
        <w:tc>
          <w:tcPr>
            <w:tcW w:w="2016" w:type="dxa"/>
          </w:tcPr>
          <w:p w14:paraId="4CC5480F" w14:textId="77777777" w:rsidR="00E2481B" w:rsidRPr="006C4158" w:rsidRDefault="00E2481B" w:rsidP="00790D79">
            <w:pPr>
              <w:spacing w:after="0" w:line="240" w:lineRule="auto"/>
              <w:jc w:val="both"/>
              <w:rPr>
                <w:rFonts w:ascii="Arial" w:hAnsi="Arial" w:cs="Arial"/>
              </w:rPr>
            </w:pPr>
            <w:r w:rsidRPr="006C4158">
              <w:rPr>
                <w:rFonts w:ascii="Arial" w:eastAsia="Times New Roman" w:hAnsi="Arial" w:cs="Arial"/>
              </w:rPr>
              <w:t xml:space="preserve">Informe de labores correspondiente a las acciones realizadas por la Comisión Nacional de Flagrancia durante el año 2020. </w:t>
            </w:r>
          </w:p>
        </w:tc>
        <w:tc>
          <w:tcPr>
            <w:tcW w:w="2611" w:type="dxa"/>
          </w:tcPr>
          <w:p w14:paraId="476A5704" w14:textId="77777777" w:rsidR="00E2481B" w:rsidRPr="006C4158" w:rsidRDefault="00E2481B" w:rsidP="00790D79">
            <w:pPr>
              <w:spacing w:after="0" w:line="240" w:lineRule="auto"/>
              <w:jc w:val="both"/>
              <w:rPr>
                <w:rFonts w:ascii="Arial" w:hAnsi="Arial" w:cs="Arial"/>
              </w:rPr>
            </w:pPr>
            <w:r w:rsidRPr="006C4158">
              <w:rPr>
                <w:rFonts w:ascii="Arial" w:eastAsia="Times New Roman" w:hAnsi="Arial" w:cs="Arial"/>
              </w:rPr>
              <w:t xml:space="preserve"> Se remite nuevamente informe anual con el propósito de ser incluido en la rendición de cuentas del Poder Judicial de Costa Rica para el año 2021.</w:t>
            </w:r>
          </w:p>
        </w:tc>
        <w:bookmarkStart w:id="39" w:name="_MON_1685988933"/>
        <w:bookmarkEnd w:id="39"/>
        <w:tc>
          <w:tcPr>
            <w:tcW w:w="2134" w:type="dxa"/>
            <w:vAlign w:val="bottom"/>
          </w:tcPr>
          <w:p w14:paraId="5599200D"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3D2EFCEE">
                <v:shape id="_x0000_i1039" type="#_x0000_t75" style="width:75.8pt;height:49.1pt" o:ole="">
                  <v:imagedata r:id="rId52" o:title=""/>
                </v:shape>
                <o:OLEObject Type="Embed" ProgID="Word.Document.8" ShapeID="_x0000_i1039" DrawAspect="Icon" ObjectID="_1693911337" r:id="rId53">
                  <o:FieldCodes>\s</o:FieldCodes>
                </o:OLEObject>
              </w:object>
            </w:r>
          </w:p>
        </w:tc>
      </w:tr>
      <w:tr w:rsidR="00E2481B" w14:paraId="2AB917DB" w14:textId="77777777" w:rsidTr="00790D79">
        <w:trPr>
          <w:trHeight w:val="205"/>
        </w:trPr>
        <w:tc>
          <w:tcPr>
            <w:tcW w:w="2010" w:type="dxa"/>
            <w:shd w:val="clear" w:color="auto" w:fill="D5DCE4"/>
            <w:vAlign w:val="center"/>
          </w:tcPr>
          <w:p w14:paraId="42B32CD9"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15-CNFLAG</w:t>
            </w:r>
          </w:p>
        </w:tc>
        <w:tc>
          <w:tcPr>
            <w:tcW w:w="2016" w:type="dxa"/>
          </w:tcPr>
          <w:p w14:paraId="6ECC5B45" w14:textId="77777777" w:rsidR="00E2481B" w:rsidRPr="00CC4F1B" w:rsidRDefault="00E2481B" w:rsidP="00790D79">
            <w:pPr>
              <w:spacing w:after="0" w:line="240" w:lineRule="auto"/>
              <w:jc w:val="both"/>
              <w:rPr>
                <w:rFonts w:ascii="Arial" w:hAnsi="Arial" w:cs="Arial"/>
                <w:bCs/>
              </w:rPr>
            </w:pPr>
            <w:r w:rsidRPr="00CC4F1B">
              <w:rPr>
                <w:rFonts w:ascii="Arial" w:hAnsi="Arial" w:cs="Arial"/>
                <w:bCs/>
              </w:rPr>
              <w:t>La jueza coordinadora del Tribunal Penal de Heredia, la señora Mauren Sancho González, consulta sobre el funcionamiento del Tribunal de Flagrancia de Heredia para los fines de semana largos.</w:t>
            </w:r>
          </w:p>
        </w:tc>
        <w:tc>
          <w:tcPr>
            <w:tcW w:w="2611" w:type="dxa"/>
          </w:tcPr>
          <w:p w14:paraId="30D6491F" w14:textId="77777777" w:rsidR="00E2481B" w:rsidRPr="00CC4F1B" w:rsidRDefault="00E2481B" w:rsidP="00790D79">
            <w:pPr>
              <w:spacing w:after="0" w:line="240" w:lineRule="auto"/>
              <w:ind w:right="333"/>
              <w:jc w:val="both"/>
              <w:rPr>
                <w:rFonts w:ascii="Arial" w:hAnsi="Arial" w:cs="Arial"/>
                <w:bCs/>
                <w:lang w:val="es-ES_tradnl"/>
              </w:rPr>
            </w:pPr>
            <w:r w:rsidRPr="00CC4F1B">
              <w:rPr>
                <w:rFonts w:ascii="Arial" w:hAnsi="Arial" w:cs="Arial"/>
                <w:bCs/>
                <w:lang w:val="es-ES_tradnl"/>
              </w:rPr>
              <w:t xml:space="preserve">Se acordó que en atención a la consulta que realiza el Consejo Superior, siendo que las secciones de Flagrancia, forman parte de los diferentes tribunales penales del país, los jueces de flagrancia pueden entrar en el rol general de disponibilidad del Tribunal, la persona juzgadora que se encuentre disponible, pueda y debe atender los asuntos de personas detenidas que se presenten en ese período, tanto del </w:t>
            </w:r>
            <w:r w:rsidRPr="00CC4F1B">
              <w:rPr>
                <w:rFonts w:ascii="Arial" w:hAnsi="Arial" w:cs="Arial"/>
                <w:bCs/>
                <w:lang w:val="es-ES_tradnl"/>
              </w:rPr>
              <w:lastRenderedPageBreak/>
              <w:t>ordinario como de flagrancia.</w:t>
            </w:r>
          </w:p>
          <w:p w14:paraId="27C00933" w14:textId="77777777" w:rsidR="00E2481B" w:rsidRPr="00CC4F1B" w:rsidRDefault="00E2481B" w:rsidP="00790D79">
            <w:pPr>
              <w:spacing w:after="0" w:line="240" w:lineRule="auto"/>
              <w:jc w:val="both"/>
              <w:rPr>
                <w:rFonts w:ascii="Arial" w:hAnsi="Arial" w:cs="Arial"/>
                <w:bCs/>
              </w:rPr>
            </w:pPr>
          </w:p>
        </w:tc>
        <w:bookmarkStart w:id="40" w:name="_MON_1685989163"/>
        <w:bookmarkEnd w:id="40"/>
        <w:tc>
          <w:tcPr>
            <w:tcW w:w="2134" w:type="dxa"/>
            <w:vAlign w:val="bottom"/>
          </w:tcPr>
          <w:p w14:paraId="0D2DA254"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4EA9FB65">
                <v:shape id="_x0000_i1040" type="#_x0000_t75" style="width:75.8pt;height:49.1pt" o:ole="">
                  <v:imagedata r:id="rId54" o:title=""/>
                </v:shape>
                <o:OLEObject Type="Embed" ProgID="Word.Document.8" ShapeID="_x0000_i1040" DrawAspect="Icon" ObjectID="_1693911338" r:id="rId55">
                  <o:FieldCodes>\s</o:FieldCodes>
                </o:OLEObject>
              </w:object>
            </w:r>
          </w:p>
        </w:tc>
      </w:tr>
      <w:tr w:rsidR="00E2481B" w14:paraId="7CFA5306" w14:textId="77777777" w:rsidTr="00790D79">
        <w:trPr>
          <w:trHeight w:val="236"/>
        </w:trPr>
        <w:tc>
          <w:tcPr>
            <w:tcW w:w="2010" w:type="dxa"/>
            <w:shd w:val="clear" w:color="auto" w:fill="D5DCE4"/>
            <w:vAlign w:val="center"/>
          </w:tcPr>
          <w:p w14:paraId="19D4EDE6"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16-CNFLAG</w:t>
            </w:r>
          </w:p>
        </w:tc>
        <w:tc>
          <w:tcPr>
            <w:tcW w:w="2016" w:type="dxa"/>
          </w:tcPr>
          <w:p w14:paraId="18B75305" w14:textId="77777777" w:rsidR="00E2481B" w:rsidRPr="00CC4F1B" w:rsidRDefault="00E2481B" w:rsidP="00790D79">
            <w:pPr>
              <w:spacing w:after="0" w:line="240" w:lineRule="auto"/>
              <w:jc w:val="both"/>
              <w:rPr>
                <w:rFonts w:ascii="Arial" w:hAnsi="Arial" w:cs="Arial"/>
              </w:rPr>
            </w:pPr>
            <w:r w:rsidRPr="00CC4F1B">
              <w:rPr>
                <w:rFonts w:ascii="Arial" w:hAnsi="Arial" w:cs="Arial"/>
                <w:lang w:val="es-ES_tradnl"/>
              </w:rPr>
              <w:t>Abordaje realizado a las oficinas de Flagrancia del Primer y Segundo Circuito Judicial de San José (Defensa Pública – Ministerio Público – Judicatura).</w:t>
            </w:r>
          </w:p>
        </w:tc>
        <w:tc>
          <w:tcPr>
            <w:tcW w:w="2611" w:type="dxa"/>
          </w:tcPr>
          <w:p w14:paraId="4BF89EB6" w14:textId="77777777" w:rsidR="00E2481B" w:rsidRPr="00CC4F1B" w:rsidRDefault="00E2481B" w:rsidP="00790D79">
            <w:pPr>
              <w:spacing w:after="0" w:line="240" w:lineRule="auto"/>
              <w:ind w:left="-6" w:right="271"/>
              <w:jc w:val="both"/>
              <w:rPr>
                <w:rFonts w:ascii="Arial" w:hAnsi="Arial" w:cs="Arial"/>
                <w:lang w:val="es-ES_tradnl"/>
              </w:rPr>
            </w:pPr>
            <w:r w:rsidRPr="00CC4F1B">
              <w:rPr>
                <w:rFonts w:ascii="Arial" w:hAnsi="Arial" w:cs="Arial"/>
                <w:lang w:val="es-ES_tradnl"/>
              </w:rPr>
              <w:t>La Comisión aprueba el informe de planificación y recomienda que, al momento de hacer el cierre de San José, se realice de forma ordenada a efectos de evitar afectación al servicio y tribunales. </w:t>
            </w:r>
          </w:p>
          <w:p w14:paraId="1BED994A" w14:textId="77777777" w:rsidR="00E2481B" w:rsidRPr="00CC4F1B" w:rsidRDefault="00E2481B" w:rsidP="00790D79">
            <w:pPr>
              <w:spacing w:after="0" w:line="240" w:lineRule="auto"/>
              <w:jc w:val="both"/>
              <w:rPr>
                <w:rFonts w:ascii="Arial" w:hAnsi="Arial" w:cs="Arial"/>
              </w:rPr>
            </w:pPr>
          </w:p>
        </w:tc>
        <w:bookmarkStart w:id="41" w:name="_MON_1685989362"/>
        <w:bookmarkEnd w:id="41"/>
        <w:tc>
          <w:tcPr>
            <w:tcW w:w="2134" w:type="dxa"/>
            <w:vAlign w:val="bottom"/>
          </w:tcPr>
          <w:p w14:paraId="051E7850"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6A1E2FB9">
                <v:shape id="_x0000_i1041" type="#_x0000_t75" style="width:75.8pt;height:49.1pt" o:ole="">
                  <v:imagedata r:id="rId56" o:title=""/>
                </v:shape>
                <o:OLEObject Type="Embed" ProgID="Word.Document.8" ShapeID="_x0000_i1041" DrawAspect="Icon" ObjectID="_1693911339" r:id="rId57">
                  <o:FieldCodes>\s</o:FieldCodes>
                </o:OLEObject>
              </w:object>
            </w:r>
          </w:p>
        </w:tc>
      </w:tr>
      <w:tr w:rsidR="00E2481B" w14:paraId="3F810216" w14:textId="77777777" w:rsidTr="00790D79">
        <w:trPr>
          <w:trHeight w:val="236"/>
        </w:trPr>
        <w:tc>
          <w:tcPr>
            <w:tcW w:w="2010" w:type="dxa"/>
            <w:shd w:val="clear" w:color="auto" w:fill="D5DCE4"/>
            <w:vAlign w:val="center"/>
          </w:tcPr>
          <w:p w14:paraId="2A5015B3"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17-CNFLAG</w:t>
            </w:r>
          </w:p>
        </w:tc>
        <w:tc>
          <w:tcPr>
            <w:tcW w:w="2016" w:type="dxa"/>
          </w:tcPr>
          <w:p w14:paraId="5D5D4C11" w14:textId="77777777" w:rsidR="00E2481B" w:rsidRPr="00CC4F1B" w:rsidRDefault="00E2481B" w:rsidP="00790D79">
            <w:pPr>
              <w:spacing w:after="0" w:line="240" w:lineRule="auto"/>
              <w:jc w:val="both"/>
              <w:rPr>
                <w:rFonts w:ascii="Arial" w:hAnsi="Arial" w:cs="Arial"/>
              </w:rPr>
            </w:pPr>
            <w:r w:rsidRPr="00CC4F1B">
              <w:rPr>
                <w:rFonts w:ascii="Arial" w:hAnsi="Arial" w:cs="Arial"/>
                <w:lang w:val="es-ES_tradnl"/>
              </w:rPr>
              <w:t xml:space="preserve">Se remiten al Consejo Superior observaciones sobre el cierre colectivo. </w:t>
            </w:r>
          </w:p>
        </w:tc>
        <w:tc>
          <w:tcPr>
            <w:tcW w:w="2611" w:type="dxa"/>
          </w:tcPr>
          <w:p w14:paraId="5F3C126C" w14:textId="77777777" w:rsidR="00E2481B" w:rsidRPr="00CC4F1B" w:rsidRDefault="00E2481B" w:rsidP="00790D79">
            <w:pPr>
              <w:spacing w:after="0" w:line="240" w:lineRule="auto"/>
              <w:jc w:val="both"/>
              <w:rPr>
                <w:rFonts w:ascii="Arial" w:hAnsi="Arial" w:cs="Arial"/>
                <w:i/>
                <w:iCs/>
                <w:lang w:val="es-ES_tradnl"/>
              </w:rPr>
            </w:pPr>
            <w:r w:rsidRPr="00CC4F1B">
              <w:rPr>
                <w:rFonts w:ascii="Arial" w:hAnsi="Arial" w:cs="Arial"/>
                <w:lang w:val="es-ES_tradnl"/>
              </w:rPr>
              <w:t xml:space="preserve">Se realizan observaciones, a efectos </w:t>
            </w:r>
            <w:r>
              <w:rPr>
                <w:rFonts w:ascii="Arial" w:hAnsi="Arial" w:cs="Arial"/>
                <w:lang w:val="es-ES_tradnl"/>
              </w:rPr>
              <w:t xml:space="preserve">de que el Consejo Superior, si lo considera </w:t>
            </w:r>
            <w:proofErr w:type="spellStart"/>
            <w:r>
              <w:rPr>
                <w:rFonts w:ascii="Arial" w:hAnsi="Arial" w:cs="Arial"/>
                <w:lang w:val="es-ES_tradnl"/>
              </w:rPr>
              <w:t>aportuno</w:t>
            </w:r>
            <w:proofErr w:type="spellEnd"/>
            <w:r>
              <w:rPr>
                <w:rFonts w:ascii="Arial" w:hAnsi="Arial" w:cs="Arial"/>
                <w:lang w:val="es-ES_tradnl"/>
              </w:rPr>
              <w:t xml:space="preserve">, </w:t>
            </w:r>
            <w:r w:rsidRPr="00CC4F1B">
              <w:rPr>
                <w:rFonts w:ascii="Arial" w:hAnsi="Arial" w:cs="Arial"/>
                <w:lang w:val="es-ES_tradnl"/>
              </w:rPr>
              <w:t>gire directrices a la Dirección Ejecutiva, a efectos que las Unidades Administrativas, de los diferentes circuitos judiciales donde operan los tribunales de flagrancia, brinden los servicios necesarios para que puedan continuar con el servicio durante el cierre colectivo 2020 – 2021, en los términos que recomienda la Dirección de Planificación.</w:t>
            </w:r>
          </w:p>
          <w:p w14:paraId="1E9BA8CE" w14:textId="77777777" w:rsidR="00E2481B" w:rsidRPr="00CC4F1B" w:rsidRDefault="00E2481B" w:rsidP="00790D79">
            <w:pPr>
              <w:spacing w:after="0" w:line="240" w:lineRule="auto"/>
              <w:jc w:val="both"/>
              <w:rPr>
                <w:rFonts w:ascii="Arial" w:hAnsi="Arial" w:cs="Arial"/>
              </w:rPr>
            </w:pPr>
          </w:p>
        </w:tc>
        <w:bookmarkStart w:id="42" w:name="_MON_1685989552"/>
        <w:bookmarkEnd w:id="42"/>
        <w:tc>
          <w:tcPr>
            <w:tcW w:w="2134" w:type="dxa"/>
            <w:vAlign w:val="bottom"/>
          </w:tcPr>
          <w:p w14:paraId="54A7AC12"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2319CAD7">
                <v:shape id="_x0000_i1042" type="#_x0000_t75" style="width:75.8pt;height:49.1pt" o:ole="">
                  <v:imagedata r:id="rId58" o:title=""/>
                </v:shape>
                <o:OLEObject Type="Embed" ProgID="Word.Document.8" ShapeID="_x0000_i1042" DrawAspect="Icon" ObjectID="_1693911340" r:id="rId59">
                  <o:FieldCodes>\s</o:FieldCodes>
                </o:OLEObject>
              </w:object>
            </w:r>
          </w:p>
        </w:tc>
      </w:tr>
      <w:tr w:rsidR="00E2481B" w14:paraId="79D19CBE" w14:textId="77777777" w:rsidTr="00790D79">
        <w:trPr>
          <w:trHeight w:val="236"/>
        </w:trPr>
        <w:tc>
          <w:tcPr>
            <w:tcW w:w="2010" w:type="dxa"/>
            <w:shd w:val="clear" w:color="auto" w:fill="D5DCE4"/>
            <w:vAlign w:val="center"/>
          </w:tcPr>
          <w:p w14:paraId="5339CDC6" w14:textId="77777777" w:rsidR="00E2481B" w:rsidRDefault="00E2481B" w:rsidP="00790D79">
            <w:pPr>
              <w:spacing w:line="24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18-CNFLAG</w:t>
            </w:r>
          </w:p>
        </w:tc>
        <w:tc>
          <w:tcPr>
            <w:tcW w:w="2016" w:type="dxa"/>
          </w:tcPr>
          <w:p w14:paraId="6B97FF37" w14:textId="77777777" w:rsidR="00E2481B" w:rsidRPr="000B4453" w:rsidRDefault="00E2481B" w:rsidP="00790D79">
            <w:pPr>
              <w:spacing w:after="0" w:line="240" w:lineRule="auto"/>
              <w:jc w:val="both"/>
              <w:rPr>
                <w:rFonts w:ascii="Arial" w:hAnsi="Arial" w:cs="Arial"/>
              </w:rPr>
            </w:pPr>
            <w:r w:rsidRPr="000B4453">
              <w:rPr>
                <w:rFonts w:ascii="Arial" w:hAnsi="Arial" w:cs="Arial"/>
              </w:rPr>
              <w:t xml:space="preserve">La Fiscala General de la República, Emilia Navas Aparicio, consulta sobre </w:t>
            </w:r>
            <w:r w:rsidRPr="000B4453">
              <w:rPr>
                <w:rFonts w:ascii="Arial" w:hAnsi="Arial" w:cs="Arial"/>
                <w:lang w:val="es-ES_tradnl"/>
              </w:rPr>
              <w:t xml:space="preserve">inclusión de los fiscales y las fiscalas de Flagrancia en los roles de disponibilidad de las respectivas fiscalías </w:t>
            </w:r>
            <w:r w:rsidRPr="000B4453">
              <w:rPr>
                <w:rFonts w:ascii="Arial" w:hAnsi="Arial" w:cs="Arial"/>
                <w:lang w:val="es-ES_tradnl"/>
              </w:rPr>
              <w:lastRenderedPageBreak/>
              <w:t>territoriales en las que trabajan, cuando su horario sea de 7:30 am a 4:30 pm.</w:t>
            </w:r>
          </w:p>
        </w:tc>
        <w:tc>
          <w:tcPr>
            <w:tcW w:w="2611" w:type="dxa"/>
          </w:tcPr>
          <w:p w14:paraId="4126DC76" w14:textId="77777777" w:rsidR="00E2481B" w:rsidRPr="000B4453" w:rsidRDefault="00E2481B" w:rsidP="00790D79">
            <w:pPr>
              <w:spacing w:after="0" w:line="240" w:lineRule="auto"/>
              <w:ind w:left="142" w:right="142"/>
              <w:jc w:val="both"/>
              <w:rPr>
                <w:rFonts w:ascii="Arial" w:hAnsi="Arial" w:cs="Arial"/>
                <w:lang w:val="es-ES_tradnl"/>
              </w:rPr>
            </w:pPr>
            <w:r w:rsidRPr="000B4453">
              <w:rPr>
                <w:rFonts w:ascii="Arial" w:hAnsi="Arial" w:cs="Arial"/>
                <w:lang w:val="es-ES_tradnl"/>
              </w:rPr>
              <w:lastRenderedPageBreak/>
              <w:t xml:space="preserve">La </w:t>
            </w:r>
            <w:r>
              <w:rPr>
                <w:rFonts w:ascii="Arial" w:hAnsi="Arial" w:cs="Arial"/>
                <w:lang w:val="es-ES_tradnl"/>
              </w:rPr>
              <w:t>C</w:t>
            </w:r>
            <w:r w:rsidRPr="000B4453">
              <w:rPr>
                <w:rFonts w:ascii="Arial" w:hAnsi="Arial" w:cs="Arial"/>
                <w:lang w:val="es-ES_tradnl"/>
              </w:rPr>
              <w:t>omisión estima no existe ningún motivo para que las fiscalías tomen parte en este rol, pero se trata de una competencia que le corresponde en forma exclusiva a la Fiscalía General de la República.</w:t>
            </w:r>
          </w:p>
          <w:p w14:paraId="0AE481E6" w14:textId="77777777" w:rsidR="00E2481B" w:rsidRPr="000B4453" w:rsidRDefault="00E2481B" w:rsidP="00790D79">
            <w:pPr>
              <w:spacing w:after="0" w:line="240" w:lineRule="auto"/>
              <w:jc w:val="both"/>
              <w:rPr>
                <w:rFonts w:ascii="Arial" w:hAnsi="Arial" w:cs="Arial"/>
              </w:rPr>
            </w:pPr>
          </w:p>
        </w:tc>
        <w:bookmarkStart w:id="43" w:name="_MON_1685989838"/>
        <w:bookmarkEnd w:id="43"/>
        <w:tc>
          <w:tcPr>
            <w:tcW w:w="2134" w:type="dxa"/>
            <w:vAlign w:val="bottom"/>
          </w:tcPr>
          <w:p w14:paraId="7B57FEA9" w14:textId="77777777" w:rsidR="00E2481B" w:rsidRDefault="00E2481B" w:rsidP="00790D79">
            <w:pPr>
              <w:spacing w:line="240" w:lineRule="auto"/>
              <w:jc w:val="both"/>
              <w:rPr>
                <w:rFonts w:ascii="Arial" w:hAnsi="Arial" w:cs="Arial"/>
                <w:sz w:val="24"/>
                <w:szCs w:val="24"/>
              </w:rPr>
            </w:pPr>
            <w:r>
              <w:rPr>
                <w:rFonts w:ascii="Arial" w:hAnsi="Arial" w:cs="Arial"/>
                <w:sz w:val="24"/>
                <w:szCs w:val="24"/>
              </w:rPr>
              <w:object w:dxaOrig="1508" w:dyaOrig="984" w14:anchorId="2F874C89">
                <v:shape id="_x0000_i1043" type="#_x0000_t75" style="width:75.8pt;height:49.1pt" o:ole="">
                  <v:imagedata r:id="rId60" o:title=""/>
                </v:shape>
                <o:OLEObject Type="Embed" ProgID="Word.Document.8" ShapeID="_x0000_i1043" DrawAspect="Icon" ObjectID="_1693911341" r:id="rId61">
                  <o:FieldCodes>\s</o:FieldCodes>
                </o:OLEObject>
              </w:object>
            </w:r>
          </w:p>
        </w:tc>
      </w:tr>
    </w:tbl>
    <w:p w14:paraId="79770EE5" w14:textId="77777777" w:rsidR="00E2481B" w:rsidRDefault="00E2481B" w:rsidP="00E2481B">
      <w:pPr>
        <w:spacing w:line="240" w:lineRule="auto"/>
        <w:ind w:firstLine="567"/>
        <w:jc w:val="both"/>
        <w:rPr>
          <w:rFonts w:ascii="Arial" w:hAnsi="Arial" w:cs="Arial"/>
          <w:sz w:val="24"/>
          <w:szCs w:val="24"/>
        </w:rPr>
      </w:pPr>
    </w:p>
    <w:p w14:paraId="67835A5B" w14:textId="77777777" w:rsidR="00E2481B" w:rsidRPr="00F631ED" w:rsidRDefault="00E2481B" w:rsidP="00E2481B">
      <w:pPr>
        <w:spacing w:line="240" w:lineRule="auto"/>
        <w:jc w:val="both"/>
        <w:rPr>
          <w:lang w:val="es-ES"/>
        </w:rPr>
      </w:pPr>
    </w:p>
    <w:p w14:paraId="352E35F1" w14:textId="77777777" w:rsidR="00E2481B" w:rsidRDefault="00E2481B" w:rsidP="00E2481B">
      <w:pPr>
        <w:pStyle w:val="Prrafodelista"/>
        <w:widowControl w:val="0"/>
        <w:numPr>
          <w:ilvl w:val="0"/>
          <w:numId w:val="32"/>
        </w:numPr>
        <w:tabs>
          <w:tab w:val="left" w:pos="1134"/>
        </w:tabs>
        <w:autoSpaceDE w:val="0"/>
        <w:autoSpaceDN w:val="0"/>
        <w:spacing w:after="0" w:line="240" w:lineRule="auto"/>
        <w:ind w:left="709" w:right="117" w:firstLine="0"/>
        <w:jc w:val="both"/>
        <w:rPr>
          <w:rFonts w:ascii="Arial" w:hAnsi="Arial" w:cs="Arial"/>
          <w:b/>
          <w:sz w:val="24"/>
          <w:szCs w:val="24"/>
        </w:rPr>
      </w:pPr>
      <w:r>
        <w:rPr>
          <w:rFonts w:ascii="Arial" w:hAnsi="Arial" w:cs="Arial"/>
          <w:b/>
          <w:sz w:val="24"/>
          <w:szCs w:val="24"/>
        </w:rPr>
        <w:t>Resumen</w:t>
      </w:r>
    </w:p>
    <w:p w14:paraId="48D83312" w14:textId="77777777" w:rsidR="00E2481B" w:rsidRDefault="00E2481B" w:rsidP="00E2481B">
      <w:pPr>
        <w:pStyle w:val="Prrafodelista"/>
        <w:widowControl w:val="0"/>
        <w:tabs>
          <w:tab w:val="left" w:pos="1134"/>
        </w:tabs>
        <w:autoSpaceDE w:val="0"/>
        <w:autoSpaceDN w:val="0"/>
        <w:spacing w:after="0" w:line="240" w:lineRule="auto"/>
        <w:ind w:left="709" w:right="117"/>
        <w:jc w:val="both"/>
        <w:rPr>
          <w:rFonts w:ascii="Arial" w:hAnsi="Arial" w:cs="Arial"/>
          <w:b/>
          <w:sz w:val="24"/>
          <w:szCs w:val="24"/>
        </w:rPr>
      </w:pPr>
    </w:p>
    <w:p w14:paraId="292C0F2F" w14:textId="77777777" w:rsidR="00E2481B" w:rsidRDefault="00E2481B" w:rsidP="00E2481B">
      <w:pPr>
        <w:spacing w:line="240" w:lineRule="auto"/>
        <w:ind w:firstLine="708"/>
        <w:jc w:val="both"/>
        <w:rPr>
          <w:rFonts w:ascii="Arial" w:hAnsi="Arial" w:cs="Arial"/>
          <w:sz w:val="24"/>
          <w:szCs w:val="24"/>
        </w:rPr>
      </w:pPr>
      <w:r w:rsidRPr="07D3CB85">
        <w:rPr>
          <w:rFonts w:ascii="Arial" w:hAnsi="Arial" w:cs="Arial"/>
          <w:sz w:val="24"/>
          <w:szCs w:val="24"/>
        </w:rPr>
        <w:t xml:space="preserve">Como parte de sus objetivos y metas de trabajo, la Comisión Nacional de Flagrancia, se ha trazado brindar apoyo sustantivo a la Corte Plena, brindando criterios o recomendaciones en la materia, con el fin de que sean valoradas por el máximo jerarca del Poder Judicial, para la buena gestión y eficiencia de los procesos en materia de flagrancia; así también, esta comisión contribuye activamente en el trabajo de reorganización del modelo de trabajo de las Secciones de Flagrancia del país; que se encuentra realizando la Dirección de Planificación, por disposición de Corte Plena; bajo una visión de aseguramiento del acceso a la justicia de las personas usuarias del servicio, y, garantizando a su vez, los derechos de las personas funcionarias. </w:t>
      </w:r>
    </w:p>
    <w:p w14:paraId="1A4F4928" w14:textId="77777777" w:rsidR="00E2481B" w:rsidRDefault="00E2481B" w:rsidP="00E2481B">
      <w:pPr>
        <w:spacing w:line="240" w:lineRule="auto"/>
        <w:ind w:firstLine="708"/>
        <w:jc w:val="both"/>
        <w:rPr>
          <w:rFonts w:ascii="Arial" w:hAnsi="Arial" w:cs="Arial"/>
          <w:iCs/>
          <w:sz w:val="24"/>
          <w:szCs w:val="24"/>
        </w:rPr>
      </w:pPr>
      <w:r>
        <w:rPr>
          <w:rFonts w:ascii="Arial" w:hAnsi="Arial" w:cs="Arial"/>
          <w:iCs/>
          <w:sz w:val="24"/>
          <w:szCs w:val="24"/>
        </w:rPr>
        <w:t xml:space="preserve">Menester indicar que la reorganización en materia de flagrancia, es tronco fundamental para dar continuidad al proceso de rediseño del modelo penal que se está llevando a cabo en el Poder Judicial, y cuyos esfuerzos; tanto de la Dirección de Planificación, como de las personas colaboradoras que se desempeñan en la materia de flagrancia, y de esta Comisión, lo que busca es, mediante acciones de mejora continua, el aseguramiento del valor del servicio de administración de justicia; que esta sea de calidad, efectiva y brindada con eficiencia.  </w:t>
      </w:r>
    </w:p>
    <w:p w14:paraId="6EB63728"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Desde el mes de mayo de 2019, la Comisión Nacional de Flagrancia ha realizado una labor en conjunto con la Dirección de Planificación del Poder Judicial, con el objetivo de lograr el alineamiento organizacional de todas las Secciones de Flagrancia del país, proceso que continúa desarrollándose. </w:t>
      </w:r>
    </w:p>
    <w:p w14:paraId="5F6ED923"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Este proceso de rediseño está siendo desarrollado por la Dirección de Planificación como parte del </w:t>
      </w:r>
      <w:r>
        <w:rPr>
          <w:rFonts w:ascii="Arial" w:hAnsi="Arial" w:cs="Arial"/>
          <w:i/>
          <w:iCs/>
          <w:sz w:val="24"/>
          <w:szCs w:val="24"/>
        </w:rPr>
        <w:t xml:space="preserve">“Proyecto de Rediseño del Modelo Penal” </w:t>
      </w:r>
      <w:r>
        <w:rPr>
          <w:rFonts w:ascii="Arial" w:hAnsi="Arial" w:cs="Arial"/>
          <w:sz w:val="24"/>
          <w:szCs w:val="24"/>
        </w:rPr>
        <w:t>que coordina la Comisión de la Jurisdicción Penal, mediante el análisis de las cargas de trabajo y los requerimientos organizacionales, se ha elaborado estudios técnicos para determinar las necesidades reales de las personas usuarias que acceden a los servicios judiciales, el acceso a la justicia y la sostenibilidad de las Secciones de Flagrancia.</w:t>
      </w:r>
    </w:p>
    <w:p w14:paraId="3A8D0B3A"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De esta forma, la Comisión Nacional de Flagrancia ha trabajado en el análisis, evaluación y elaboración de propuestas para el consenso de acuerdos y decisiones en beneficio de las personas usuarias, de la Institución y de las personas funcionarias </w:t>
      </w:r>
      <w:r>
        <w:rPr>
          <w:rFonts w:ascii="Arial" w:hAnsi="Arial" w:cs="Arial"/>
          <w:sz w:val="24"/>
          <w:szCs w:val="24"/>
        </w:rPr>
        <w:lastRenderedPageBreak/>
        <w:t>públicas, esto bajo la pretensión de garantizar un efectivo acceso a la justicia y sin discriminación alguna.</w:t>
      </w:r>
    </w:p>
    <w:p w14:paraId="4FF47F0B"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En esta línea, la Comisión también ha realizado esfuerzos para determinar la mejor propuesta de trabajo, lo cual incluye la atención a los asuntos ordinarios por parte de las personas operadoras de justicia que laboran en las Secciones de Flagrancia, a partir de un estudio de las cargas de trabajo de los circuitos judiciales. </w:t>
      </w:r>
    </w:p>
    <w:p w14:paraId="71BAB411"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Por ejemplo, a </w:t>
      </w:r>
      <w:r>
        <w:rPr>
          <w:rFonts w:ascii="Arial" w:hAnsi="Arial" w:cs="Arial"/>
          <w:bCs/>
          <w:sz w:val="24"/>
          <w:szCs w:val="24"/>
        </w:rPr>
        <w:t xml:space="preserve">partir de los datos expuestos en los informes N°330-PLA-OI-2019 y N°749-PLA-OI-2019, ambos de la Dirección de Planificación, la Comisión Nacional de Flagrancia determinó la </w:t>
      </w:r>
      <w:r>
        <w:rPr>
          <w:rFonts w:ascii="Arial" w:hAnsi="Arial" w:cs="Arial"/>
          <w:sz w:val="24"/>
          <w:szCs w:val="24"/>
        </w:rPr>
        <w:t xml:space="preserve">necesidad de mejorar la ejecución operativa en el ámbito de aplicación del procedimiento especial de flagrancia, por cuanto se sigue requiriendo generar la toma de decisiones asertivas, en función del aparato de justicia y de las personas usuarias. </w:t>
      </w:r>
    </w:p>
    <w:p w14:paraId="229ADFAC"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En consecuencia, atendiendo al principio de acceso a la justicia, la Comisión Nacional de Flagrancia ha tomado una serie de acuerdos trascendentales para la implementación de una propuesta de colaboración en asuntos ordinarios, considerando que </w:t>
      </w:r>
      <w:r>
        <w:rPr>
          <w:rFonts w:ascii="Arial" w:eastAsia="Times New Roman" w:hAnsi="Arial" w:cs="Arial"/>
          <w:bCs/>
          <w:color w:val="000000"/>
          <w:sz w:val="24"/>
          <w:szCs w:val="24"/>
          <w:lang w:eastAsia="es-CR"/>
        </w:rPr>
        <w:t xml:space="preserve">las recomendaciones técnicas que ha rendido la Dirección de Planificación en sus diferentes informes, se fundamenten en datos estadísticos históricos y documentos puestos en consulta, revisados y validados con el personal de los respectivos despachos judiciales. </w:t>
      </w:r>
    </w:p>
    <w:p w14:paraId="2A8387C0" w14:textId="77777777" w:rsidR="00E2481B" w:rsidRDefault="00E2481B" w:rsidP="00E2481B">
      <w:pPr>
        <w:spacing w:line="240" w:lineRule="auto"/>
        <w:ind w:firstLine="708"/>
        <w:jc w:val="both"/>
        <w:rPr>
          <w:rFonts w:ascii="Arial" w:hAnsi="Arial" w:cs="Arial"/>
          <w:sz w:val="24"/>
          <w:szCs w:val="24"/>
        </w:rPr>
      </w:pPr>
      <w:r>
        <w:rPr>
          <w:rFonts w:ascii="Arial" w:hAnsi="Arial" w:cs="Arial"/>
          <w:sz w:val="24"/>
          <w:szCs w:val="24"/>
        </w:rPr>
        <w:t xml:space="preserve">Este proceso de mejora organizacional se ha ido efectuando de manera paulatina en los diferentes circuitos judiciales, atendiendo las diversas características del entorno cultural, psicosocial, el zonaje y la ubicación de los despachos, así como los factores internos de trabajo que inciden, o puedan incidir, en la buena labor que realizan los jueces y las juezas de flagrancia. </w:t>
      </w:r>
    </w:p>
    <w:p w14:paraId="12FBA86B" w14:textId="77777777" w:rsidR="00E2481B" w:rsidRDefault="00E2481B" w:rsidP="00E2481B">
      <w:pPr>
        <w:spacing w:line="240" w:lineRule="auto"/>
        <w:jc w:val="both"/>
        <w:rPr>
          <w:rFonts w:ascii="Arial" w:hAnsi="Arial" w:cs="Arial"/>
          <w:sz w:val="24"/>
          <w:szCs w:val="24"/>
        </w:rPr>
      </w:pPr>
      <w:r>
        <w:rPr>
          <w:rFonts w:ascii="Arial" w:hAnsi="Arial" w:cs="Arial"/>
          <w:b/>
          <w:bCs/>
          <w:iCs/>
          <w:sz w:val="24"/>
          <w:szCs w:val="24"/>
        </w:rPr>
        <w:tab/>
      </w:r>
      <w:r>
        <w:rPr>
          <w:rFonts w:ascii="Arial" w:hAnsi="Arial" w:cs="Arial"/>
          <w:sz w:val="24"/>
          <w:szCs w:val="24"/>
        </w:rPr>
        <w:t xml:space="preserve"> </w:t>
      </w:r>
    </w:p>
    <w:p w14:paraId="5B78D847" w14:textId="77777777" w:rsidR="00E2481B" w:rsidRDefault="00E2481B" w:rsidP="00E2481B">
      <w:pPr>
        <w:spacing w:after="0" w:line="240" w:lineRule="auto"/>
        <w:jc w:val="both"/>
        <w:rPr>
          <w:rFonts w:ascii="Arial" w:hAnsi="Arial" w:cs="Arial"/>
          <w:iCs/>
          <w:sz w:val="24"/>
          <w:szCs w:val="24"/>
        </w:rPr>
      </w:pPr>
      <w:r>
        <w:rPr>
          <w:rFonts w:ascii="Arial" w:hAnsi="Arial" w:cs="Arial"/>
          <w:sz w:val="24"/>
          <w:szCs w:val="24"/>
        </w:rPr>
        <w:tab/>
        <w:t>Importante también, hacer mención, que durante el 2020, además del trabajo conjunto con la Dirección de Planificación, p</w:t>
      </w:r>
      <w:r>
        <w:rPr>
          <w:rFonts w:ascii="Arial" w:hAnsi="Arial" w:cs="Arial"/>
          <w:iCs/>
          <w:sz w:val="24"/>
          <w:szCs w:val="24"/>
        </w:rPr>
        <w:t>ara el logro de las metas de esta Comisión, se ha trabajado en forma colaborativa con los representantes del Ministerio Público y la Defensa Pública, quienes, en busca de la eficiencia del procedimiento expedito de flagrancia, y claros de que se debe garantizar el principio de justicia pronta y cumplida para las personas usuarias, y con el fin de optimizar los recursos institucionales, se implementaron planes pilotos para celebrar debates unipersonales de las Secciones Ordinarias de los Tribunales Penales. Conforme se avanzó en el análisis de situación de las Secciones de Flagrancia, durante el año 2020, se adoptaron medidas para que cada persona juzgadora cumpla con las cuotas de trabajo establecidas por la Corte Suprema y el Consejo Superior, en aseguramiento de la calidad y eficiencia de los servicios de administración de justicia.</w:t>
      </w:r>
    </w:p>
    <w:p w14:paraId="460DF99A" w14:textId="77777777" w:rsidR="00E2481B" w:rsidRDefault="00E2481B" w:rsidP="00E2481B">
      <w:pPr>
        <w:spacing w:after="0" w:line="240" w:lineRule="auto"/>
        <w:jc w:val="both"/>
        <w:rPr>
          <w:rFonts w:ascii="Arial" w:hAnsi="Arial" w:cs="Arial"/>
          <w:iCs/>
          <w:sz w:val="24"/>
          <w:szCs w:val="24"/>
        </w:rPr>
      </w:pPr>
    </w:p>
    <w:p w14:paraId="212D72AC" w14:textId="77777777" w:rsidR="00E2481B" w:rsidRDefault="00E2481B" w:rsidP="00E2481B">
      <w:pPr>
        <w:spacing w:after="0" w:line="240" w:lineRule="auto"/>
        <w:ind w:firstLine="708"/>
        <w:jc w:val="both"/>
        <w:rPr>
          <w:rFonts w:ascii="Arial" w:hAnsi="Arial" w:cs="Arial"/>
          <w:iCs/>
          <w:sz w:val="24"/>
          <w:szCs w:val="24"/>
        </w:rPr>
      </w:pPr>
      <w:r>
        <w:rPr>
          <w:rFonts w:ascii="Arial" w:hAnsi="Arial" w:cs="Arial"/>
          <w:iCs/>
          <w:sz w:val="24"/>
          <w:szCs w:val="24"/>
        </w:rPr>
        <w:t>Comprometidos con el valor del servicio de administración de justicia, la Comisión Nacional de Flagrancia seguirá contribuyendo al máximo jerarca; dentro de sus funciones y competencias, al desarrollo de la gobernanza debida del Poder Judicial.</w:t>
      </w:r>
    </w:p>
    <w:p w14:paraId="10066DA9" w14:textId="77777777" w:rsidR="00CE7032" w:rsidRPr="00BB53C0" w:rsidRDefault="00CE7032" w:rsidP="00CE7032">
      <w:pPr>
        <w:spacing w:line="240" w:lineRule="auto"/>
        <w:jc w:val="both"/>
        <w:rPr>
          <w:rFonts w:ascii="Arial" w:hAnsi="Arial" w:cs="Arial"/>
          <w:iCs/>
          <w:sz w:val="24"/>
          <w:szCs w:val="24"/>
        </w:rPr>
      </w:pPr>
    </w:p>
    <w:p w14:paraId="55A28764" w14:textId="77777777" w:rsidR="0057165A" w:rsidRDefault="0057165A" w:rsidP="006606AE">
      <w:pPr>
        <w:widowControl w:val="0"/>
        <w:tabs>
          <w:tab w:val="left" w:pos="567"/>
          <w:tab w:val="left" w:pos="851"/>
          <w:tab w:val="left" w:pos="993"/>
        </w:tabs>
        <w:autoSpaceDE w:val="0"/>
        <w:autoSpaceDN w:val="0"/>
        <w:spacing w:after="0" w:line="240" w:lineRule="auto"/>
        <w:ind w:left="360" w:right="-12"/>
        <w:jc w:val="both"/>
        <w:rPr>
          <w:rFonts w:ascii="Arial" w:hAnsi="Arial" w:cs="Arial"/>
          <w:b/>
          <w:sz w:val="24"/>
          <w:szCs w:val="24"/>
        </w:rPr>
      </w:pPr>
    </w:p>
    <w:p w14:paraId="12EED3B5" w14:textId="77777777" w:rsidR="00CE7032" w:rsidRPr="00BB53C0" w:rsidRDefault="00CE7032" w:rsidP="00CE7032">
      <w:pPr>
        <w:spacing w:after="0" w:line="240" w:lineRule="auto"/>
        <w:rPr>
          <w:rFonts w:ascii="Arial" w:hAnsi="Arial" w:cs="Arial"/>
          <w:sz w:val="24"/>
          <w:szCs w:val="24"/>
        </w:rPr>
      </w:pPr>
    </w:p>
    <w:p w14:paraId="1745A1AE" w14:textId="701732B8" w:rsidR="00D818F9" w:rsidRPr="008D6AC5" w:rsidRDefault="006606AE" w:rsidP="00D77A62">
      <w:pPr>
        <w:pStyle w:val="Prrafodelista"/>
        <w:numPr>
          <w:ilvl w:val="0"/>
          <w:numId w:val="25"/>
        </w:numPr>
        <w:spacing w:after="0" w:line="360" w:lineRule="auto"/>
        <w:rPr>
          <w:rFonts w:ascii="Arial" w:hAnsi="Arial" w:cs="Arial"/>
          <w:b/>
          <w:bCs/>
          <w:sz w:val="24"/>
          <w:szCs w:val="24"/>
          <w:u w:val="single"/>
        </w:rPr>
      </w:pPr>
      <w:r>
        <w:rPr>
          <w:rFonts w:ascii="Arial" w:hAnsi="Arial" w:cs="Arial"/>
          <w:b/>
          <w:bCs/>
          <w:sz w:val="24"/>
          <w:szCs w:val="24"/>
          <w:u w:val="single"/>
        </w:rPr>
        <w:t xml:space="preserve"> </w:t>
      </w:r>
      <w:r w:rsidR="00D818F9" w:rsidRPr="008D6AC5">
        <w:rPr>
          <w:rFonts w:ascii="Arial" w:hAnsi="Arial" w:cs="Arial"/>
          <w:b/>
          <w:bCs/>
          <w:sz w:val="24"/>
          <w:szCs w:val="24"/>
          <w:u w:val="single"/>
        </w:rPr>
        <w:t>Sub Comisión Penal Juvenil</w:t>
      </w:r>
    </w:p>
    <w:p w14:paraId="1160A068" w14:textId="77777777" w:rsidR="00F517CA" w:rsidRPr="00BB53C0" w:rsidRDefault="00F517CA" w:rsidP="00D818F9">
      <w:pPr>
        <w:spacing w:after="0" w:line="360" w:lineRule="auto"/>
        <w:ind w:left="1080" w:hanging="720"/>
        <w:jc w:val="center"/>
        <w:rPr>
          <w:rFonts w:ascii="Arial" w:hAnsi="Arial" w:cs="Arial"/>
          <w:b/>
          <w:bCs/>
          <w:sz w:val="24"/>
          <w:szCs w:val="24"/>
          <w:u w:val="single"/>
        </w:rPr>
      </w:pPr>
    </w:p>
    <w:p w14:paraId="65585C30" w14:textId="66E59746" w:rsidR="00D818F9" w:rsidRPr="00BB53C0" w:rsidRDefault="00D818F9" w:rsidP="00D818F9">
      <w:pPr>
        <w:spacing w:line="360" w:lineRule="auto"/>
        <w:ind w:firstLine="708"/>
        <w:jc w:val="both"/>
        <w:rPr>
          <w:rFonts w:ascii="Arial" w:hAnsi="Arial" w:cs="Arial"/>
          <w:sz w:val="24"/>
          <w:szCs w:val="24"/>
        </w:rPr>
      </w:pPr>
      <w:r w:rsidRPr="00BB53C0">
        <w:rPr>
          <w:rFonts w:ascii="Arial" w:hAnsi="Arial" w:cs="Arial"/>
          <w:sz w:val="24"/>
          <w:szCs w:val="24"/>
        </w:rPr>
        <w:t xml:space="preserve">Como parte de las labores que </w:t>
      </w:r>
      <w:r w:rsidR="00F517CA">
        <w:rPr>
          <w:rFonts w:ascii="Arial" w:hAnsi="Arial" w:cs="Arial"/>
          <w:sz w:val="24"/>
          <w:szCs w:val="24"/>
        </w:rPr>
        <w:t xml:space="preserve">se realizaron </w:t>
      </w:r>
      <w:r w:rsidRPr="00BB53C0">
        <w:rPr>
          <w:rFonts w:ascii="Arial" w:hAnsi="Arial" w:cs="Arial"/>
          <w:sz w:val="24"/>
          <w:szCs w:val="24"/>
        </w:rPr>
        <w:t xml:space="preserve">durante el año 2020 </w:t>
      </w:r>
      <w:r w:rsidR="00F517CA">
        <w:rPr>
          <w:rFonts w:ascii="Arial" w:hAnsi="Arial" w:cs="Arial"/>
          <w:sz w:val="24"/>
          <w:szCs w:val="24"/>
        </w:rPr>
        <w:t>con el</w:t>
      </w:r>
      <w:r w:rsidRPr="00BB53C0">
        <w:rPr>
          <w:rFonts w:ascii="Arial" w:hAnsi="Arial" w:cs="Arial"/>
          <w:sz w:val="24"/>
          <w:szCs w:val="24"/>
        </w:rPr>
        <w:t xml:space="preserve"> apoyo </w:t>
      </w:r>
      <w:r w:rsidR="00F517CA">
        <w:rPr>
          <w:rFonts w:ascii="Arial" w:hAnsi="Arial" w:cs="Arial"/>
          <w:sz w:val="24"/>
          <w:szCs w:val="24"/>
        </w:rPr>
        <w:t xml:space="preserve">del </w:t>
      </w:r>
      <w:r w:rsidRPr="00BB53C0">
        <w:rPr>
          <w:rFonts w:ascii="Arial" w:hAnsi="Arial" w:cs="Arial"/>
          <w:sz w:val="24"/>
          <w:szCs w:val="24"/>
        </w:rPr>
        <w:t xml:space="preserve">Dr. Álvaro Burgos Mata, coordinador de la Sub Comisión Penal Juvenil, me permito indicar se mantuvo un trabajo continuo de coordinación con los integrantes de este grupo de trabajo dada la relevancia de que se integren esfuerzos en el campo penal juvenil y se brinden respuestas oportunas y articuladas que respeten los principios rectores de la materia. </w:t>
      </w:r>
    </w:p>
    <w:p w14:paraId="09D57E53" w14:textId="6299C4B8" w:rsidR="00D818F9" w:rsidRPr="00BB53C0" w:rsidRDefault="00D818F9" w:rsidP="00D818F9">
      <w:pPr>
        <w:spacing w:line="360" w:lineRule="auto"/>
        <w:ind w:firstLine="708"/>
        <w:jc w:val="both"/>
        <w:rPr>
          <w:rFonts w:ascii="Arial" w:hAnsi="Arial" w:cs="Arial"/>
          <w:sz w:val="24"/>
          <w:szCs w:val="24"/>
        </w:rPr>
      </w:pPr>
      <w:r w:rsidRPr="00BB53C0">
        <w:rPr>
          <w:rFonts w:ascii="Arial" w:hAnsi="Arial" w:cs="Arial"/>
          <w:sz w:val="24"/>
          <w:szCs w:val="24"/>
        </w:rPr>
        <w:t xml:space="preserve">Se asistió a dos sesiones de la Sub Comisión Penal Juvenil, realizadas el 14 de mayo y 17 de setiembre del 2020. </w:t>
      </w:r>
    </w:p>
    <w:p w14:paraId="5E5BE44F" w14:textId="77777777" w:rsidR="00D818F9" w:rsidRPr="00BB53C0" w:rsidRDefault="00D818F9" w:rsidP="00D818F9">
      <w:pPr>
        <w:tabs>
          <w:tab w:val="left" w:pos="284"/>
          <w:tab w:val="left" w:pos="709"/>
        </w:tabs>
        <w:spacing w:line="360" w:lineRule="auto"/>
        <w:jc w:val="both"/>
        <w:rPr>
          <w:rFonts w:ascii="Arial" w:hAnsi="Arial" w:cs="Arial"/>
          <w:bCs/>
          <w:sz w:val="24"/>
          <w:szCs w:val="24"/>
        </w:rPr>
      </w:pPr>
      <w:r w:rsidRPr="00BB53C0">
        <w:rPr>
          <w:rFonts w:ascii="Arial" w:hAnsi="Arial" w:cs="Arial"/>
          <w:bCs/>
          <w:sz w:val="24"/>
          <w:szCs w:val="24"/>
        </w:rPr>
        <w:tab/>
        <w:t xml:space="preserve">Desde la oficina del Dr. Álvaro Burgos Mata, se elaboraron los oficios de respuesta a las diversas solicitudes dirigidas a la Sub Comisión Penal Juvenil por parte del Consejo Superior, de la Secretaría de la Corte, Planificación, Unidad de Acceso a la Justicia, entre otros. Cuando resulta ser oportuno y luego del estudio de la consulta con el Dr. Burgos en su condición de coordinador, se procedió a direccionar las consultas a los integrantes de la subcomisión para hicieran sus aportes. Todas las respuesta recibidas, fueron analizadas para consolidar la posición de la Sub Comisión en cada uno de los temas sometidos a nuestro conocimiento, de manera que desde una óptica especializada se propusieron soluciones y abordajes de conformidad con la normativa nacional e internacional de tutela de los derechos de la población joven en conflicto con la ley, y procurando el que se garantice un servicio público de calidad, atendiéndose la </w:t>
      </w:r>
      <w:r w:rsidRPr="00BB53C0">
        <w:rPr>
          <w:rFonts w:ascii="Arial" w:hAnsi="Arial" w:cs="Arial"/>
          <w:b/>
          <w:i/>
          <w:iCs/>
          <w:sz w:val="24"/>
          <w:szCs w:val="24"/>
        </w:rPr>
        <w:t>“Política de Acceso a la Justicia Penal Juvenil”</w:t>
      </w:r>
      <w:r w:rsidRPr="00BB53C0">
        <w:rPr>
          <w:rFonts w:ascii="Arial" w:hAnsi="Arial" w:cs="Arial"/>
          <w:bCs/>
          <w:sz w:val="24"/>
          <w:szCs w:val="24"/>
        </w:rPr>
        <w:t xml:space="preserve"> que se normativizó mediante la Circular N°65-2011 de fecha 07 de junio del 2011 y que fue reiterada mediante la Circular N°174-2017 del 01 de noviembre de 2017, publicada en el Boletín Judicial N°239 del 18 de diciembre del 2017.</w:t>
      </w:r>
    </w:p>
    <w:p w14:paraId="06528059" w14:textId="77777777" w:rsidR="00D818F9" w:rsidRPr="00BB53C0" w:rsidRDefault="00D818F9" w:rsidP="00D818F9">
      <w:pPr>
        <w:spacing w:line="360" w:lineRule="auto"/>
        <w:ind w:firstLine="708"/>
        <w:jc w:val="both"/>
        <w:rPr>
          <w:rFonts w:ascii="Arial" w:hAnsi="Arial" w:cs="Arial"/>
          <w:b/>
          <w:bCs/>
          <w:sz w:val="24"/>
          <w:szCs w:val="24"/>
          <w:lang w:val="es-ES"/>
        </w:rPr>
      </w:pPr>
      <w:r w:rsidRPr="00BB53C0">
        <w:rPr>
          <w:rFonts w:ascii="Arial" w:hAnsi="Arial" w:cs="Arial"/>
          <w:sz w:val="24"/>
          <w:szCs w:val="24"/>
        </w:rPr>
        <w:t xml:space="preserve">Se trabajó constantemente en atender situaciones especiales que se relacionan con la necesaria tutela de los derechos fundamentales de las personas menores de edad vinculadas a un proceso penal juvenil. En la línea de cumplimiento de este compromiso, </w:t>
      </w:r>
      <w:r w:rsidRPr="00BB53C0">
        <w:rPr>
          <w:rFonts w:ascii="Arial" w:hAnsi="Arial" w:cs="Arial"/>
          <w:sz w:val="24"/>
          <w:szCs w:val="24"/>
        </w:rPr>
        <w:lastRenderedPageBreak/>
        <w:t xml:space="preserve">se redactaron propuestas de redacción que culminaron con la publicación de las </w:t>
      </w:r>
      <w:r w:rsidRPr="00BB53C0">
        <w:rPr>
          <w:rFonts w:ascii="Arial" w:hAnsi="Arial" w:cs="Arial"/>
          <w:sz w:val="24"/>
          <w:szCs w:val="24"/>
          <w:lang w:val="es-ES"/>
        </w:rPr>
        <w:t xml:space="preserve">las Circulares de la Secretaría de la </w:t>
      </w:r>
      <w:r w:rsidRPr="00BB53C0">
        <w:rPr>
          <w:rFonts w:ascii="Arial" w:hAnsi="Arial" w:cs="Arial"/>
          <w:b/>
          <w:bCs/>
          <w:sz w:val="24"/>
          <w:szCs w:val="24"/>
          <w:lang w:val="es-ES"/>
        </w:rPr>
        <w:t>Corte: N°179-2020 del 24 de agosto del 2020, Legitimación de personas menores de edad víctimas para intervenir en asuntos judiciales; y N°224-2020 del 02 de octubre del 2020, Deber de ejecutar sin mayor dilación las órdenes de localización, presentación y captura emitidas por el Juzgado Penal Juvenil, aún y cuando se trate de personas menores de edad que no porten consigo un documento de identidad.</w:t>
      </w:r>
    </w:p>
    <w:p w14:paraId="26127B0C" w14:textId="77777777" w:rsidR="00D818F9" w:rsidRPr="00BB53C0" w:rsidRDefault="00D818F9" w:rsidP="00D818F9">
      <w:pPr>
        <w:spacing w:line="360" w:lineRule="auto"/>
        <w:ind w:firstLine="708"/>
        <w:jc w:val="both"/>
        <w:rPr>
          <w:rFonts w:ascii="Arial" w:hAnsi="Arial" w:cs="Arial"/>
          <w:sz w:val="24"/>
          <w:szCs w:val="24"/>
        </w:rPr>
      </w:pPr>
      <w:r w:rsidRPr="00BB53C0">
        <w:rPr>
          <w:rFonts w:ascii="Arial" w:hAnsi="Arial" w:cs="Arial"/>
          <w:sz w:val="24"/>
          <w:szCs w:val="24"/>
          <w:lang w:val="es-ES"/>
        </w:rPr>
        <w:t xml:space="preserve">Algunos de los temas que se atendieron en la Sub Comisión Penal Juvenil y por los que se generaron oficios de respuestas, estuvieron relacionados con la revisión del Estatuto de la Justicia y Derechos de las personas usuarias, el </w:t>
      </w:r>
      <w:r w:rsidRPr="00BB53C0">
        <w:rPr>
          <w:rFonts w:ascii="Arial" w:hAnsi="Arial" w:cs="Arial"/>
          <w:sz w:val="24"/>
          <w:szCs w:val="24"/>
        </w:rPr>
        <w:t xml:space="preserve">“Procedimiento para tratar datos personales en las resoluciones que se publican en Poder Judicial”, Instrumento de recolección de datos e información - los derechos humanos en la administración de justicia- justicia juvenil, análisis del movimiento de trabajo en los Juzgados Penales Juveniles durante el 2019, actualización de matriz de indicadores del Juzgado Penal Juvenil del Segundo Circuito Judicial de Alajuela, lineamientos generales para la atención de personas en condición de vulnerabilidad, informe sobre labores y trascendencia de la Sub Comisión Penal Juvenil, reproducción de audiencias y juicios utilizando la consulta privada del Sistema de Gestión en Línea, gestión de la Defensoría de los Habitantes sobre los ataques sufridos por personas que laboran en la defensa de los derechos humanos, entre otros. </w:t>
      </w:r>
    </w:p>
    <w:p w14:paraId="2E07555A" w14:textId="77777777" w:rsidR="00D818F9" w:rsidRPr="00BB53C0" w:rsidRDefault="00D818F9" w:rsidP="00D818F9">
      <w:pPr>
        <w:spacing w:line="360" w:lineRule="auto"/>
        <w:ind w:firstLine="708"/>
        <w:jc w:val="both"/>
        <w:rPr>
          <w:rFonts w:ascii="Arial" w:hAnsi="Arial" w:cs="Arial"/>
          <w:sz w:val="24"/>
          <w:szCs w:val="24"/>
          <w:lang w:val="es-ES"/>
        </w:rPr>
      </w:pPr>
      <w:r w:rsidRPr="00BB53C0">
        <w:rPr>
          <w:rFonts w:ascii="Arial" w:hAnsi="Arial" w:cs="Arial"/>
          <w:sz w:val="24"/>
          <w:szCs w:val="24"/>
          <w:lang w:val="es-ES"/>
        </w:rPr>
        <w:t>Se participó en una reunión con el departamento de estadística, planificación, desarrollo organizacional, modernización institucional y varios jueces de Juzgados Penales Juveniles del país (Heredia, Cartago, Alajuela), a efecto de analizar las propuestas de la Dirección de Planificación para definir las cargas de trabajo en la jurisdicción penal juvenil</w:t>
      </w:r>
    </w:p>
    <w:p w14:paraId="6A6216F0" w14:textId="77777777" w:rsidR="00D818F9" w:rsidRPr="00BB53C0" w:rsidRDefault="00D818F9" w:rsidP="00D818F9">
      <w:pPr>
        <w:spacing w:line="360" w:lineRule="auto"/>
        <w:ind w:firstLine="708"/>
        <w:jc w:val="both"/>
        <w:rPr>
          <w:rFonts w:ascii="Arial" w:hAnsi="Arial" w:cs="Arial"/>
          <w:sz w:val="24"/>
          <w:szCs w:val="24"/>
          <w:lang w:val="es-ES"/>
        </w:rPr>
      </w:pPr>
      <w:r w:rsidRPr="00BB53C0">
        <w:rPr>
          <w:rFonts w:ascii="Arial" w:hAnsi="Arial" w:cs="Arial"/>
          <w:sz w:val="24"/>
          <w:szCs w:val="24"/>
          <w:lang w:val="es-ES"/>
        </w:rPr>
        <w:t xml:space="preserve">Se trabajó en coordinación con la Unidad de Acceso a la Justicia para definir las metas del Plan Anual Operativo 2021-2022, lo que evidentemente es relevante porque las mismas nacen desde el seno de un Sub Comisión especializada en materia penal juvenil y en atención a las prioridades de la misma. </w:t>
      </w:r>
    </w:p>
    <w:p w14:paraId="5016ECB3" w14:textId="77777777" w:rsidR="00D818F9" w:rsidRPr="00BB53C0" w:rsidRDefault="00D818F9" w:rsidP="00D818F9">
      <w:pPr>
        <w:spacing w:line="360" w:lineRule="auto"/>
        <w:ind w:firstLine="708"/>
        <w:jc w:val="both"/>
        <w:rPr>
          <w:rFonts w:ascii="Arial" w:hAnsi="Arial" w:cs="Arial"/>
          <w:sz w:val="24"/>
          <w:szCs w:val="24"/>
          <w:lang w:val="es-ES"/>
        </w:rPr>
      </w:pPr>
      <w:r w:rsidRPr="00BB53C0">
        <w:rPr>
          <w:rFonts w:ascii="Arial" w:hAnsi="Arial" w:cs="Arial"/>
          <w:sz w:val="24"/>
          <w:szCs w:val="24"/>
          <w:lang w:val="es-ES"/>
        </w:rPr>
        <w:lastRenderedPageBreak/>
        <w:t>Se redactó el informe anual de labores para el 2020 de la Sub Comisión Penal Juvenil, y se envió a la Unidad de Acceso a la Justicia.</w:t>
      </w:r>
    </w:p>
    <w:p w14:paraId="1A835E01" w14:textId="77777777" w:rsidR="00D818F9" w:rsidRPr="00BB53C0" w:rsidRDefault="00D818F9" w:rsidP="00D818F9">
      <w:pPr>
        <w:spacing w:line="360" w:lineRule="auto"/>
        <w:ind w:firstLine="708"/>
        <w:jc w:val="both"/>
        <w:rPr>
          <w:rFonts w:ascii="Arial" w:hAnsi="Arial" w:cs="Arial"/>
          <w:sz w:val="24"/>
          <w:szCs w:val="24"/>
          <w:lang w:val="es-ES"/>
        </w:rPr>
      </w:pPr>
      <w:r w:rsidRPr="00BB53C0">
        <w:rPr>
          <w:rFonts w:ascii="Arial" w:hAnsi="Arial" w:cs="Arial"/>
          <w:sz w:val="24"/>
          <w:szCs w:val="24"/>
          <w:lang w:val="es-ES"/>
        </w:rPr>
        <w:t>Se han coordinado reuniones de trabajo virtuales con el Ministerio de Educación, el Patronato Nacional de la Infancia, Ministerio Público y Defensa Pública, a efectos de integrar esfuerzos interinstitucionales relacionados con la materia penal juvenil y con la intensión de tener canales de comunicación abierta con otros sectores vinculados con los intereses y protección de los derechos de la población penal juvenil en conflicto con la ley penal.  Se ha estado trabajando en una iniciativa que denominamos “Alfabetización en materia Penal Juvenil”, que pretende se instaure un día al año en que se brinden charlas a las personas menores de edad sobre sus derechos y obligaciones en relación a la aplicación de la Ley de Justicia Penal Juvenil.</w:t>
      </w:r>
    </w:p>
    <w:p w14:paraId="3CBA1113" w14:textId="77777777" w:rsidR="00D818F9" w:rsidRPr="00BB53C0" w:rsidRDefault="00D818F9" w:rsidP="00D818F9">
      <w:pPr>
        <w:spacing w:line="360" w:lineRule="auto"/>
        <w:ind w:firstLine="708"/>
        <w:jc w:val="both"/>
        <w:rPr>
          <w:rFonts w:ascii="Arial" w:hAnsi="Arial" w:cs="Arial"/>
          <w:sz w:val="24"/>
          <w:szCs w:val="24"/>
          <w:lang w:val="es-ES"/>
        </w:rPr>
      </w:pPr>
      <w:r w:rsidRPr="00BB53C0">
        <w:rPr>
          <w:rFonts w:ascii="Arial" w:hAnsi="Arial" w:cs="Arial"/>
          <w:sz w:val="24"/>
          <w:szCs w:val="24"/>
          <w:lang w:val="es-ES"/>
        </w:rPr>
        <w:t>Se sostuvo una reunión con el Centro de Jurisprudencia, a efectos de actualizar el espacio de la página web del Poder Judicial destinada a la materia penal juvenil. Al momento hemos estado gestionando la solicitud y envió de los “links” de acceso a varias instituciones de interés a efectos de poder ponerlos en el portal web.</w:t>
      </w:r>
    </w:p>
    <w:p w14:paraId="492DCF08" w14:textId="77777777" w:rsidR="00D818F9" w:rsidRPr="00BB53C0" w:rsidRDefault="00D818F9" w:rsidP="00D818F9">
      <w:pPr>
        <w:spacing w:line="360" w:lineRule="auto"/>
        <w:ind w:firstLine="708"/>
        <w:jc w:val="both"/>
        <w:rPr>
          <w:rFonts w:ascii="Arial" w:hAnsi="Arial" w:cs="Arial"/>
          <w:sz w:val="24"/>
          <w:szCs w:val="24"/>
          <w:lang w:val="es-ES"/>
        </w:rPr>
      </w:pPr>
      <w:r w:rsidRPr="00BB53C0">
        <w:rPr>
          <w:rFonts w:ascii="Arial" w:hAnsi="Arial" w:cs="Arial"/>
          <w:sz w:val="24"/>
          <w:szCs w:val="24"/>
          <w:lang w:val="es-ES"/>
        </w:rPr>
        <w:t xml:space="preserve">Se levantó una lista actualizada del personal judicial que trabaja en la materia penal juvenil a nivel nacional, con la finalidad de poder tener contacto directo con ellos y enviarles información de interés. </w:t>
      </w:r>
    </w:p>
    <w:p w14:paraId="7D6C4A88" w14:textId="77777777" w:rsidR="00D818F9" w:rsidRPr="00BB53C0" w:rsidRDefault="00D818F9" w:rsidP="00D818F9">
      <w:pPr>
        <w:pStyle w:val="Textodecampo"/>
        <w:spacing w:before="0" w:after="0" w:line="360" w:lineRule="auto"/>
        <w:ind w:firstLine="708"/>
        <w:jc w:val="both"/>
        <w:rPr>
          <w:sz w:val="24"/>
          <w:szCs w:val="24"/>
        </w:rPr>
      </w:pPr>
      <w:r w:rsidRPr="00BB53C0">
        <w:rPr>
          <w:sz w:val="24"/>
          <w:szCs w:val="24"/>
        </w:rPr>
        <w:t xml:space="preserve">Durante todo el año 2020, se ha mantenido participación activa en el Proyecto de Mentores Judiciales, de manera que se asiste a reuniones virtuales y se revisan productos y documentos sometidos a consideración. En diciembre del 2020, participamos en una reunión en la que el Magistrado Gerardo Rubén Alfaro hice un detalle de avance del proyecto, destacando la participación de la Sub Comisión Penal Juvenil. </w:t>
      </w:r>
    </w:p>
    <w:p w14:paraId="3E744170" w14:textId="77777777" w:rsidR="00D818F9" w:rsidRPr="00BB53C0" w:rsidRDefault="00D818F9" w:rsidP="00D818F9">
      <w:pPr>
        <w:pStyle w:val="Textodecampo"/>
        <w:spacing w:before="0" w:after="0" w:line="360" w:lineRule="auto"/>
        <w:ind w:firstLine="708"/>
        <w:jc w:val="both"/>
        <w:rPr>
          <w:sz w:val="24"/>
          <w:szCs w:val="24"/>
        </w:rPr>
      </w:pPr>
      <w:r w:rsidRPr="00BB53C0">
        <w:rPr>
          <w:sz w:val="24"/>
          <w:szCs w:val="24"/>
        </w:rPr>
        <w:t>Se recibió capacitación para la formulación de SEVRI para la Comisión de Acceso a la Justicia y sobre la despersonalización de datos de las actas de las sesiones ordinarias y extraordinarias de la Comisión.</w:t>
      </w:r>
    </w:p>
    <w:p w14:paraId="0CFF2D3F" w14:textId="77777777" w:rsidR="00D818F9" w:rsidRPr="00BB53C0" w:rsidRDefault="00D818F9" w:rsidP="00D818F9">
      <w:pPr>
        <w:pStyle w:val="Textodecampo"/>
        <w:spacing w:before="0" w:after="0" w:line="360" w:lineRule="auto"/>
        <w:ind w:firstLine="708"/>
        <w:jc w:val="both"/>
        <w:rPr>
          <w:b/>
          <w:bCs/>
          <w:sz w:val="24"/>
          <w:szCs w:val="24"/>
        </w:rPr>
      </w:pPr>
      <w:r w:rsidRPr="00BB53C0">
        <w:rPr>
          <w:sz w:val="24"/>
          <w:szCs w:val="24"/>
        </w:rPr>
        <w:t xml:space="preserve">Se realizaron dos informes de respuesta a la solicitud de criterio sobre proyectos de ley por parte de la Asamblea Legislativa: </w:t>
      </w:r>
      <w:r w:rsidRPr="00BB53C0">
        <w:rPr>
          <w:b/>
          <w:bCs/>
          <w:sz w:val="24"/>
          <w:szCs w:val="24"/>
        </w:rPr>
        <w:t>expediente 20-000119-0006-PE</w:t>
      </w:r>
      <w:r w:rsidRPr="00BB53C0">
        <w:rPr>
          <w:sz w:val="24"/>
          <w:szCs w:val="24"/>
        </w:rPr>
        <w:t xml:space="preserve"> sobre el proyecto de ley denominado “Ley que define la competencia por materia sobre casos de </w:t>
      </w:r>
      <w:r w:rsidRPr="00BB53C0">
        <w:rPr>
          <w:sz w:val="24"/>
          <w:szCs w:val="24"/>
        </w:rPr>
        <w:lastRenderedPageBreak/>
        <w:t xml:space="preserve">menores de edad presuntos de infringir la ley de tránsito”, Expediente legislativo N° 21.814; y </w:t>
      </w:r>
      <w:r w:rsidRPr="00BB53C0">
        <w:rPr>
          <w:b/>
          <w:bCs/>
          <w:sz w:val="24"/>
          <w:szCs w:val="24"/>
        </w:rPr>
        <w:t xml:space="preserve">expediente 20-000138-0006-PE </w:t>
      </w:r>
      <w:r w:rsidRPr="00BB53C0">
        <w:rPr>
          <w:sz w:val="24"/>
          <w:szCs w:val="24"/>
        </w:rPr>
        <w:t>sobre el proyecto de ley denominado “Adición de incisos a los artículos 34 y 259 del Código Procesal Penal para suspender los plazos de prisión preventiva y de prescripción de la acción penal en situaciones de emergencia nacional”, expediente número 21.969.</w:t>
      </w:r>
    </w:p>
    <w:p w14:paraId="475CBC5C" w14:textId="7DCB365F" w:rsidR="00C60AC2" w:rsidRPr="00BB53C0" w:rsidRDefault="00C60AC2" w:rsidP="000444F3">
      <w:pPr>
        <w:autoSpaceDE w:val="0"/>
        <w:autoSpaceDN w:val="0"/>
        <w:adjustRightInd w:val="0"/>
        <w:spacing w:after="0" w:line="360" w:lineRule="auto"/>
        <w:jc w:val="both"/>
        <w:rPr>
          <w:rFonts w:ascii="Arial" w:hAnsi="Arial" w:cs="Arial"/>
          <w:sz w:val="24"/>
          <w:szCs w:val="24"/>
          <w:lang w:val="es-ES"/>
        </w:rPr>
      </w:pPr>
    </w:p>
    <w:p w14:paraId="017FD4B8" w14:textId="62271AAA" w:rsidR="009C09DA" w:rsidRPr="00BB53C0" w:rsidRDefault="009C09DA" w:rsidP="002A12BB">
      <w:pPr>
        <w:autoSpaceDE w:val="0"/>
        <w:autoSpaceDN w:val="0"/>
        <w:adjustRightInd w:val="0"/>
        <w:spacing w:after="0" w:line="360" w:lineRule="auto"/>
        <w:jc w:val="both"/>
        <w:rPr>
          <w:rFonts w:ascii="Arial" w:hAnsi="Arial" w:cs="Arial"/>
          <w:sz w:val="24"/>
          <w:szCs w:val="24"/>
          <w:lang w:val="es-ES"/>
        </w:rPr>
      </w:pPr>
    </w:p>
    <w:p w14:paraId="1136E85E" w14:textId="027D1440" w:rsidR="00E01CA0" w:rsidRPr="00BB53C0" w:rsidRDefault="00E01CA0" w:rsidP="002A12BB">
      <w:pPr>
        <w:autoSpaceDE w:val="0"/>
        <w:autoSpaceDN w:val="0"/>
        <w:adjustRightInd w:val="0"/>
        <w:spacing w:after="0" w:line="360" w:lineRule="auto"/>
        <w:jc w:val="both"/>
        <w:rPr>
          <w:rFonts w:ascii="Arial" w:hAnsi="Arial" w:cs="Arial"/>
          <w:sz w:val="24"/>
          <w:szCs w:val="24"/>
          <w:lang w:val="es-ES"/>
        </w:rPr>
      </w:pPr>
    </w:p>
    <w:p w14:paraId="137E9446" w14:textId="69F6FCAF" w:rsidR="00E01CA0" w:rsidRPr="00BB53C0" w:rsidRDefault="00E01CA0" w:rsidP="002A12BB">
      <w:pPr>
        <w:autoSpaceDE w:val="0"/>
        <w:autoSpaceDN w:val="0"/>
        <w:adjustRightInd w:val="0"/>
        <w:spacing w:after="0" w:line="360" w:lineRule="auto"/>
        <w:jc w:val="both"/>
        <w:rPr>
          <w:rFonts w:ascii="Arial" w:hAnsi="Arial" w:cs="Arial"/>
          <w:sz w:val="24"/>
          <w:szCs w:val="24"/>
          <w:lang w:val="es-ES"/>
        </w:rPr>
      </w:pPr>
    </w:p>
    <w:p w14:paraId="4348A808" w14:textId="3AC92FFD" w:rsidR="00E01CA0" w:rsidRPr="00BB53C0" w:rsidRDefault="00E01CA0">
      <w:pPr>
        <w:spacing w:after="0" w:line="240" w:lineRule="auto"/>
        <w:rPr>
          <w:rFonts w:ascii="Arial" w:hAnsi="Arial" w:cs="Arial"/>
          <w:sz w:val="24"/>
          <w:szCs w:val="24"/>
          <w:lang w:val="es-ES"/>
        </w:rPr>
      </w:pPr>
      <w:r w:rsidRPr="00BB53C0">
        <w:rPr>
          <w:rFonts w:ascii="Arial" w:hAnsi="Arial" w:cs="Arial"/>
          <w:sz w:val="24"/>
          <w:szCs w:val="24"/>
          <w:lang w:val="es-ES"/>
        </w:rPr>
        <w:br w:type="page"/>
      </w:r>
    </w:p>
    <w:p w14:paraId="4A80F823" w14:textId="3CF78230" w:rsidR="00F517CA" w:rsidRPr="008D6AC5" w:rsidRDefault="006606AE" w:rsidP="006606AE">
      <w:pPr>
        <w:pStyle w:val="Prrafodelista"/>
        <w:spacing w:line="240" w:lineRule="auto"/>
        <w:jc w:val="center"/>
        <w:rPr>
          <w:rFonts w:ascii="Arial" w:hAnsi="Arial" w:cs="Arial"/>
          <w:b/>
          <w:bCs/>
          <w:sz w:val="28"/>
          <w:szCs w:val="28"/>
          <w:u w:val="single"/>
        </w:rPr>
      </w:pPr>
      <w:r>
        <w:rPr>
          <w:rFonts w:ascii="Arial" w:hAnsi="Arial" w:cs="Arial"/>
          <w:b/>
          <w:bCs/>
          <w:sz w:val="28"/>
          <w:szCs w:val="28"/>
          <w:u w:val="single"/>
        </w:rPr>
        <w:lastRenderedPageBreak/>
        <w:t>1</w:t>
      </w:r>
      <w:r w:rsidR="00D77A62">
        <w:rPr>
          <w:rFonts w:ascii="Arial" w:hAnsi="Arial" w:cs="Arial"/>
          <w:b/>
          <w:bCs/>
          <w:sz w:val="28"/>
          <w:szCs w:val="28"/>
          <w:u w:val="single"/>
        </w:rPr>
        <w:t>6</w:t>
      </w:r>
      <w:r>
        <w:rPr>
          <w:rFonts w:ascii="Arial" w:hAnsi="Arial" w:cs="Arial"/>
          <w:b/>
          <w:bCs/>
          <w:sz w:val="28"/>
          <w:szCs w:val="28"/>
          <w:u w:val="single"/>
        </w:rPr>
        <w:t>- D</w:t>
      </w:r>
      <w:r w:rsidR="00F517CA" w:rsidRPr="008D6AC5">
        <w:rPr>
          <w:rFonts w:ascii="Arial" w:hAnsi="Arial" w:cs="Arial"/>
          <w:b/>
          <w:bCs/>
          <w:sz w:val="28"/>
          <w:szCs w:val="28"/>
          <w:u w:val="single"/>
        </w:rPr>
        <w:t>irección Nacional de Justicia Restaurativa</w:t>
      </w:r>
    </w:p>
    <w:p w14:paraId="2B74278A" w14:textId="77777777" w:rsidR="00F517CA" w:rsidRPr="00F517CA" w:rsidRDefault="00F517CA" w:rsidP="00F517CA">
      <w:pPr>
        <w:spacing w:line="360" w:lineRule="auto"/>
        <w:jc w:val="center"/>
        <w:rPr>
          <w:rFonts w:ascii="Arial" w:hAnsi="Arial" w:cs="Arial"/>
          <w:b/>
          <w:bCs/>
          <w:sz w:val="28"/>
          <w:szCs w:val="28"/>
          <w:u w:val="single"/>
        </w:rPr>
      </w:pPr>
    </w:p>
    <w:p w14:paraId="5E146328" w14:textId="53DC6E51" w:rsidR="00E01CA0" w:rsidRPr="00BB53C0" w:rsidRDefault="00E01CA0" w:rsidP="00F517CA">
      <w:pPr>
        <w:spacing w:line="360" w:lineRule="auto"/>
        <w:jc w:val="both"/>
        <w:rPr>
          <w:rFonts w:ascii="Arial" w:hAnsi="Arial" w:cs="Arial"/>
          <w:sz w:val="24"/>
          <w:szCs w:val="24"/>
        </w:rPr>
      </w:pPr>
      <w:r w:rsidRPr="00BB53C0">
        <w:rPr>
          <w:rFonts w:ascii="Arial" w:hAnsi="Arial" w:cs="Arial"/>
          <w:sz w:val="24"/>
          <w:szCs w:val="24"/>
        </w:rPr>
        <w:t xml:space="preserve">La Dirección Nacional de Justicia Restaurativa se creó a partir del 20 de enero del 2019 con la entrada en vigencia de la Ley de Justicia Restaurativa, Ley 9582, se encuentra bajo la Rectoría del Magistrado de la Sala Tercera designado por Corte Plena, a cargo del Señor Magistrado Gerardo Rubén Alfaro Vargas. La Dirección de Justicia Restaurativa ante las circunstancias de la pandemia, continúo brindando sus servicios de forma ininterrumpida, respetando todas las medidas de bioseguridad de las autoridades del Poder Judicial y del Ministerio de Salud. </w:t>
      </w:r>
    </w:p>
    <w:p w14:paraId="4F2CD55D" w14:textId="77777777" w:rsidR="00E01CA0" w:rsidRPr="00BB53C0" w:rsidRDefault="00E01CA0" w:rsidP="00F517CA">
      <w:pPr>
        <w:spacing w:after="0" w:line="360" w:lineRule="auto"/>
        <w:jc w:val="both"/>
        <w:rPr>
          <w:rFonts w:ascii="Arial" w:hAnsi="Arial" w:cs="Arial"/>
          <w:sz w:val="24"/>
          <w:szCs w:val="24"/>
        </w:rPr>
      </w:pPr>
      <w:r w:rsidRPr="00BB53C0">
        <w:rPr>
          <w:rFonts w:ascii="Arial" w:hAnsi="Arial" w:cs="Arial"/>
          <w:sz w:val="24"/>
          <w:szCs w:val="24"/>
        </w:rPr>
        <w:t>El Plan Anual Operativo, las acciones asociadas al Plan Estratégico Institucional, así como los proyectos institucionales que se ejecutan desde la Dirección, de forma innovadora se readecuaron en su modalidad de ejecución, avanzando adecuadamente, para brindar el mejor servicio de justicia restaurativa a las personas usuarias, contribuyendo además con los Objetivos de Desarrollo Sostenible.</w:t>
      </w:r>
    </w:p>
    <w:p w14:paraId="060236D7" w14:textId="77777777" w:rsidR="00E01CA0" w:rsidRPr="00BB53C0" w:rsidRDefault="00E01CA0" w:rsidP="00F517CA">
      <w:pPr>
        <w:spacing w:after="0" w:line="360" w:lineRule="auto"/>
        <w:jc w:val="both"/>
        <w:rPr>
          <w:rFonts w:ascii="Arial" w:hAnsi="Arial" w:cs="Arial"/>
          <w:sz w:val="24"/>
          <w:szCs w:val="24"/>
        </w:rPr>
      </w:pPr>
    </w:p>
    <w:p w14:paraId="1DFE98B8" w14:textId="37038D01" w:rsidR="00E01CA0" w:rsidRPr="00BB53C0" w:rsidRDefault="00E01CA0" w:rsidP="00F517CA">
      <w:pPr>
        <w:spacing w:after="0" w:line="360" w:lineRule="auto"/>
        <w:jc w:val="both"/>
        <w:rPr>
          <w:rFonts w:ascii="Arial" w:hAnsi="Arial" w:cs="Arial"/>
          <w:sz w:val="24"/>
          <w:szCs w:val="24"/>
        </w:rPr>
      </w:pPr>
      <w:r w:rsidRPr="00BB53C0">
        <w:rPr>
          <w:rFonts w:ascii="Arial" w:hAnsi="Arial" w:cs="Arial"/>
          <w:sz w:val="24"/>
          <w:szCs w:val="24"/>
        </w:rPr>
        <w:t xml:space="preserve">A </w:t>
      </w:r>
      <w:r w:rsidR="005F7288" w:rsidRPr="00BB53C0">
        <w:rPr>
          <w:rFonts w:ascii="Arial" w:hAnsi="Arial" w:cs="Arial"/>
          <w:sz w:val="24"/>
          <w:szCs w:val="24"/>
        </w:rPr>
        <w:t>continuación,</w:t>
      </w:r>
      <w:r w:rsidRPr="00BB53C0">
        <w:rPr>
          <w:rFonts w:ascii="Arial" w:hAnsi="Arial" w:cs="Arial"/>
          <w:sz w:val="24"/>
          <w:szCs w:val="24"/>
        </w:rPr>
        <w:t xml:space="preserve"> se presentan los principales resultados obtenidos en Justicia Restaurativa de enero a octubre del 2020: </w:t>
      </w:r>
    </w:p>
    <w:p w14:paraId="4B3590AD" w14:textId="77777777" w:rsidR="00E01CA0" w:rsidRPr="00BB53C0" w:rsidRDefault="00E01CA0" w:rsidP="00F517CA">
      <w:pPr>
        <w:spacing w:after="0" w:line="360" w:lineRule="auto"/>
        <w:rPr>
          <w:rFonts w:ascii="Arial" w:hAnsi="Arial" w:cs="Arial"/>
          <w:sz w:val="24"/>
          <w:szCs w:val="24"/>
        </w:rPr>
      </w:pPr>
    </w:p>
    <w:p w14:paraId="60FC21C6" w14:textId="2FD1AAFA" w:rsidR="00E01CA0" w:rsidRPr="008D6AC5" w:rsidRDefault="00E01CA0" w:rsidP="008D6AC5">
      <w:pPr>
        <w:pStyle w:val="Ttulo2"/>
        <w:numPr>
          <w:ilvl w:val="0"/>
          <w:numId w:val="0"/>
        </w:numPr>
        <w:spacing w:line="360" w:lineRule="auto"/>
        <w:ind w:left="860"/>
        <w:rPr>
          <w:rFonts w:cs="Arial"/>
          <w:sz w:val="24"/>
          <w:szCs w:val="24"/>
        </w:rPr>
      </w:pPr>
      <w:r w:rsidRPr="008D6AC5">
        <w:rPr>
          <w:rFonts w:cs="Arial"/>
          <w:sz w:val="24"/>
          <w:szCs w:val="24"/>
        </w:rPr>
        <w:t xml:space="preserve">Ampliación de cobertura de los procesos restaurativos. </w:t>
      </w:r>
    </w:p>
    <w:p w14:paraId="43A89C78" w14:textId="77777777" w:rsidR="00E01CA0" w:rsidRPr="00BB53C0" w:rsidRDefault="00E01CA0" w:rsidP="00F517CA">
      <w:pPr>
        <w:pStyle w:val="Prrafodelista"/>
        <w:spacing w:after="0" w:line="360" w:lineRule="auto"/>
        <w:ind w:left="1080"/>
        <w:jc w:val="both"/>
        <w:rPr>
          <w:rFonts w:ascii="Arial" w:hAnsi="Arial" w:cs="Arial"/>
          <w:sz w:val="24"/>
          <w:szCs w:val="24"/>
        </w:rPr>
      </w:pPr>
    </w:p>
    <w:p w14:paraId="368784E1" w14:textId="77777777" w:rsidR="00E01CA0" w:rsidRPr="00BB53C0" w:rsidRDefault="00E01CA0" w:rsidP="00F517CA">
      <w:pPr>
        <w:spacing w:after="0" w:line="360" w:lineRule="auto"/>
        <w:jc w:val="both"/>
        <w:rPr>
          <w:rFonts w:ascii="Arial" w:hAnsi="Arial" w:cs="Arial"/>
          <w:sz w:val="24"/>
          <w:szCs w:val="24"/>
        </w:rPr>
      </w:pPr>
      <w:r w:rsidRPr="00BB53C0">
        <w:rPr>
          <w:rFonts w:ascii="Arial" w:hAnsi="Arial" w:cs="Arial"/>
          <w:sz w:val="24"/>
          <w:szCs w:val="24"/>
        </w:rPr>
        <w:t xml:space="preserve">Las labores de la Dirección Nacional de Justicia Restaurativa estuvieron enfocadas en el mandato legal de implementar a nivel nacional los procesos de Justicia Restaurativa. Una organización adecuada, colaborativa y participativa, con el Ministerio Público, Defensa Pública, Departamento de Trabajo Social y Psicología, Centro de Resolución Alterna de Conflictos, la Judicatura en materia penal y penal juvenil, así como el ámbito administrativo, permitió, aún con las restricciones presupuestarias, la ampliación en 3 Circuitos Judiciales en Justicia Penal Restaurativa y 10 nuevos juzgados en materia penal juvenil, en 6 Juzgados Contravencionales; en relación al Procedimiento de Tratamiento de Drogas bajo Supervisión Judicial Restaurativa se implementó en juvenil en 6 Circuitos </w:t>
      </w:r>
      <w:r w:rsidRPr="00BB53C0">
        <w:rPr>
          <w:rFonts w:ascii="Arial" w:hAnsi="Arial" w:cs="Arial"/>
          <w:sz w:val="24"/>
          <w:szCs w:val="24"/>
        </w:rPr>
        <w:lastRenderedPageBreak/>
        <w:t xml:space="preserve">Judiciales y en personas adultas se amplió en 2 nuevos lugares; por reglamento interno del Poder Judicial se dio inicio con el servicio del proceso para el Bienestar Integral del personal judicial. </w:t>
      </w:r>
    </w:p>
    <w:p w14:paraId="08018B0D" w14:textId="77777777" w:rsidR="00E01CA0" w:rsidRPr="00BB53C0" w:rsidRDefault="00E01CA0" w:rsidP="00F517CA">
      <w:pPr>
        <w:spacing w:after="0" w:line="360" w:lineRule="auto"/>
        <w:jc w:val="both"/>
        <w:rPr>
          <w:rFonts w:ascii="Arial" w:hAnsi="Arial" w:cs="Arial"/>
          <w:sz w:val="24"/>
          <w:szCs w:val="24"/>
        </w:rPr>
      </w:pPr>
    </w:p>
    <w:p w14:paraId="3E4026FF" w14:textId="77777777" w:rsidR="00E01CA0" w:rsidRPr="00BB53C0" w:rsidRDefault="00E01CA0" w:rsidP="00F517CA">
      <w:pPr>
        <w:spacing w:after="0" w:line="360" w:lineRule="auto"/>
        <w:jc w:val="both"/>
        <w:rPr>
          <w:rFonts w:ascii="Arial" w:hAnsi="Arial" w:cs="Arial"/>
          <w:sz w:val="24"/>
          <w:szCs w:val="24"/>
        </w:rPr>
      </w:pPr>
      <w:r w:rsidRPr="00BB53C0">
        <w:rPr>
          <w:rFonts w:ascii="Arial" w:hAnsi="Arial" w:cs="Arial"/>
          <w:sz w:val="24"/>
          <w:szCs w:val="24"/>
        </w:rPr>
        <w:t xml:space="preserve">En la siguiente tabla se observa la ampliación de cobertura a detalle: </w:t>
      </w:r>
    </w:p>
    <w:p w14:paraId="3E24E419" w14:textId="77777777" w:rsidR="00E01CA0" w:rsidRPr="00BB53C0" w:rsidRDefault="00E01CA0" w:rsidP="00F517CA">
      <w:pPr>
        <w:spacing w:after="0" w:line="360" w:lineRule="auto"/>
        <w:jc w:val="both"/>
        <w:rPr>
          <w:rFonts w:ascii="Arial" w:hAnsi="Arial" w:cs="Arial"/>
          <w:sz w:val="24"/>
          <w:szCs w:val="24"/>
        </w:rPr>
      </w:pPr>
    </w:p>
    <w:p w14:paraId="284F564B" w14:textId="77777777" w:rsidR="00E01CA0" w:rsidRPr="00BB53C0" w:rsidRDefault="00E01CA0" w:rsidP="00F517CA">
      <w:pPr>
        <w:spacing w:after="0" w:line="360" w:lineRule="auto"/>
        <w:jc w:val="center"/>
        <w:rPr>
          <w:rFonts w:ascii="Arial" w:hAnsi="Arial" w:cs="Arial"/>
          <w:b/>
          <w:i/>
          <w:color w:val="4F81BD" w:themeColor="accent1"/>
        </w:rPr>
      </w:pPr>
      <w:r w:rsidRPr="00BB53C0">
        <w:rPr>
          <w:rFonts w:ascii="Arial" w:hAnsi="Arial" w:cs="Arial"/>
          <w:b/>
          <w:i/>
          <w:color w:val="4F81BD" w:themeColor="accent1"/>
        </w:rPr>
        <w:t>Tabla 1. Ampliación de cobertura de los procedimientos de Justicia Restaurativa. Año 2020.</w:t>
      </w:r>
    </w:p>
    <w:tbl>
      <w:tblPr>
        <w:tblStyle w:val="Tablaconcuadrcula"/>
        <w:tblW w:w="6345" w:type="dxa"/>
        <w:jc w:val="center"/>
        <w:tblLook w:val="04A0" w:firstRow="1" w:lastRow="0" w:firstColumn="1" w:lastColumn="0" w:noHBand="0" w:noVBand="1"/>
      </w:tblPr>
      <w:tblGrid>
        <w:gridCol w:w="1678"/>
        <w:gridCol w:w="2213"/>
        <w:gridCol w:w="240"/>
        <w:gridCol w:w="2214"/>
      </w:tblGrid>
      <w:tr w:rsidR="00E01CA0" w:rsidRPr="00BB53C0" w14:paraId="5FC11DEE" w14:textId="77777777" w:rsidTr="00E01CA0">
        <w:trPr>
          <w:trHeight w:val="401"/>
          <w:jc w:val="center"/>
        </w:trPr>
        <w:tc>
          <w:tcPr>
            <w:tcW w:w="1242" w:type="dxa"/>
            <w:shd w:val="clear" w:color="auto" w:fill="6DADA5"/>
          </w:tcPr>
          <w:p w14:paraId="06AE5277" w14:textId="77777777" w:rsidR="00E01CA0" w:rsidRPr="00BB53C0" w:rsidRDefault="00E01CA0" w:rsidP="00F517CA">
            <w:pPr>
              <w:spacing w:after="0" w:line="360" w:lineRule="auto"/>
              <w:jc w:val="center"/>
              <w:rPr>
                <w:rFonts w:ascii="Arial" w:hAnsi="Arial" w:cs="Arial"/>
                <w:b/>
                <w:bCs/>
                <w:color w:val="FFFFFF" w:themeColor="background1"/>
                <w:sz w:val="18"/>
                <w:szCs w:val="18"/>
              </w:rPr>
            </w:pPr>
            <w:r w:rsidRPr="00BB53C0">
              <w:rPr>
                <w:rFonts w:ascii="Arial" w:hAnsi="Arial" w:cs="Arial"/>
                <w:b/>
                <w:bCs/>
                <w:color w:val="FFFFFF" w:themeColor="background1"/>
                <w:sz w:val="18"/>
                <w:szCs w:val="18"/>
              </w:rPr>
              <w:t>Materia</w:t>
            </w:r>
          </w:p>
        </w:tc>
        <w:tc>
          <w:tcPr>
            <w:tcW w:w="2410" w:type="dxa"/>
            <w:shd w:val="clear" w:color="auto" w:fill="6DADA5"/>
          </w:tcPr>
          <w:p w14:paraId="689E6330" w14:textId="5D913583" w:rsidR="00E01CA0" w:rsidRPr="00BB53C0" w:rsidRDefault="00E01CA0" w:rsidP="00F517CA">
            <w:pPr>
              <w:spacing w:after="0" w:line="360" w:lineRule="auto"/>
              <w:jc w:val="center"/>
              <w:rPr>
                <w:rFonts w:ascii="Arial" w:hAnsi="Arial" w:cs="Arial"/>
                <w:b/>
                <w:bCs/>
                <w:color w:val="FFFFFF" w:themeColor="background1"/>
                <w:sz w:val="18"/>
                <w:szCs w:val="18"/>
              </w:rPr>
            </w:pPr>
            <w:r w:rsidRPr="00BB53C0">
              <w:rPr>
                <w:rFonts w:ascii="Arial" w:hAnsi="Arial" w:cs="Arial"/>
                <w:b/>
                <w:bCs/>
                <w:color w:val="FFFFFF" w:themeColor="background1"/>
                <w:sz w:val="18"/>
                <w:szCs w:val="18"/>
              </w:rPr>
              <w:t xml:space="preserve">Circuitos Judiciales a </w:t>
            </w:r>
            <w:r w:rsidR="005F7288" w:rsidRPr="00BB53C0">
              <w:rPr>
                <w:rFonts w:ascii="Arial" w:hAnsi="Arial" w:cs="Arial"/>
                <w:b/>
                <w:bCs/>
                <w:color w:val="FFFFFF" w:themeColor="background1"/>
                <w:sz w:val="18"/>
                <w:szCs w:val="18"/>
              </w:rPr>
              <w:t>diciembre</w:t>
            </w:r>
            <w:r w:rsidRPr="00BB53C0">
              <w:rPr>
                <w:rFonts w:ascii="Arial" w:hAnsi="Arial" w:cs="Arial"/>
                <w:b/>
                <w:bCs/>
                <w:color w:val="FFFFFF" w:themeColor="background1"/>
                <w:sz w:val="18"/>
                <w:szCs w:val="18"/>
              </w:rPr>
              <w:t xml:space="preserve"> 2019</w:t>
            </w:r>
          </w:p>
        </w:tc>
        <w:tc>
          <w:tcPr>
            <w:tcW w:w="2693" w:type="dxa"/>
            <w:gridSpan w:val="2"/>
            <w:shd w:val="clear" w:color="auto" w:fill="6DADA5"/>
          </w:tcPr>
          <w:p w14:paraId="1F501EFA" w14:textId="77777777" w:rsidR="00E01CA0" w:rsidRPr="00BB53C0" w:rsidRDefault="00E01CA0" w:rsidP="00F517CA">
            <w:pPr>
              <w:spacing w:after="0" w:line="360" w:lineRule="auto"/>
              <w:jc w:val="center"/>
              <w:rPr>
                <w:rFonts w:ascii="Arial" w:hAnsi="Arial" w:cs="Arial"/>
                <w:b/>
                <w:bCs/>
                <w:color w:val="FFFFFF" w:themeColor="background1"/>
                <w:sz w:val="18"/>
                <w:szCs w:val="18"/>
              </w:rPr>
            </w:pPr>
            <w:r w:rsidRPr="00BB53C0">
              <w:rPr>
                <w:rFonts w:ascii="Arial" w:hAnsi="Arial" w:cs="Arial"/>
                <w:b/>
                <w:bCs/>
                <w:color w:val="FFFFFF" w:themeColor="background1"/>
                <w:sz w:val="18"/>
                <w:szCs w:val="18"/>
              </w:rPr>
              <w:t>Ampliación Circuitos Judiciales 2020</w:t>
            </w:r>
          </w:p>
        </w:tc>
      </w:tr>
      <w:tr w:rsidR="00E01CA0" w:rsidRPr="00BB53C0" w14:paraId="77F2F607" w14:textId="77777777" w:rsidTr="00E01CA0">
        <w:trPr>
          <w:trHeight w:val="79"/>
          <w:jc w:val="center"/>
        </w:trPr>
        <w:tc>
          <w:tcPr>
            <w:tcW w:w="1242" w:type="dxa"/>
            <w:vMerge w:val="restart"/>
            <w:shd w:val="clear" w:color="auto" w:fill="FFFFFF" w:themeFill="background1"/>
          </w:tcPr>
          <w:p w14:paraId="0EA62DBF" w14:textId="77777777" w:rsidR="00E01CA0" w:rsidRPr="00BB53C0" w:rsidRDefault="00E01CA0" w:rsidP="00F517CA">
            <w:pPr>
              <w:spacing w:after="0" w:line="360" w:lineRule="auto"/>
              <w:jc w:val="center"/>
              <w:rPr>
                <w:rFonts w:ascii="Arial" w:hAnsi="Arial" w:cs="Arial"/>
                <w:b/>
                <w:bCs/>
                <w:sz w:val="18"/>
                <w:szCs w:val="18"/>
              </w:rPr>
            </w:pPr>
          </w:p>
          <w:p w14:paraId="1835BCA6" w14:textId="77777777" w:rsidR="00E01CA0" w:rsidRPr="00BB53C0" w:rsidRDefault="00E01CA0" w:rsidP="00F517CA">
            <w:pPr>
              <w:spacing w:after="0" w:line="360" w:lineRule="auto"/>
              <w:jc w:val="center"/>
              <w:rPr>
                <w:rFonts w:ascii="Arial" w:hAnsi="Arial" w:cs="Arial"/>
                <w:b/>
                <w:bCs/>
                <w:sz w:val="18"/>
                <w:szCs w:val="18"/>
              </w:rPr>
            </w:pPr>
          </w:p>
          <w:p w14:paraId="6092F1FD" w14:textId="77777777" w:rsidR="00E01CA0" w:rsidRPr="00BB53C0" w:rsidRDefault="00E01CA0" w:rsidP="00F517CA">
            <w:pPr>
              <w:spacing w:after="0" w:line="360" w:lineRule="auto"/>
              <w:jc w:val="center"/>
              <w:rPr>
                <w:rFonts w:ascii="Arial" w:hAnsi="Arial" w:cs="Arial"/>
                <w:b/>
                <w:bCs/>
                <w:sz w:val="18"/>
                <w:szCs w:val="18"/>
              </w:rPr>
            </w:pPr>
          </w:p>
          <w:p w14:paraId="005A4DE8" w14:textId="77777777" w:rsidR="00E01CA0" w:rsidRPr="00BB53C0" w:rsidRDefault="00E01CA0" w:rsidP="00F517CA">
            <w:pPr>
              <w:spacing w:after="0" w:line="360" w:lineRule="auto"/>
              <w:jc w:val="center"/>
              <w:rPr>
                <w:rFonts w:ascii="Arial" w:hAnsi="Arial" w:cs="Arial"/>
                <w:b/>
                <w:bCs/>
                <w:sz w:val="18"/>
                <w:szCs w:val="18"/>
              </w:rPr>
            </w:pPr>
            <w:r w:rsidRPr="00BB53C0">
              <w:rPr>
                <w:rFonts w:ascii="Arial" w:hAnsi="Arial" w:cs="Arial"/>
                <w:b/>
                <w:bCs/>
                <w:sz w:val="18"/>
                <w:szCs w:val="18"/>
              </w:rPr>
              <w:t>JJR</w:t>
            </w:r>
          </w:p>
        </w:tc>
        <w:tc>
          <w:tcPr>
            <w:tcW w:w="2410" w:type="dxa"/>
            <w:shd w:val="clear" w:color="auto" w:fill="FFFFFF" w:themeFill="background1"/>
          </w:tcPr>
          <w:p w14:paraId="236B6C57"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Alajuela</w:t>
            </w:r>
          </w:p>
        </w:tc>
        <w:tc>
          <w:tcPr>
            <w:tcW w:w="2693" w:type="dxa"/>
            <w:gridSpan w:val="2"/>
            <w:shd w:val="clear" w:color="auto" w:fill="FFFFFF" w:themeFill="background1"/>
          </w:tcPr>
          <w:p w14:paraId="6B27FBC7"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Turrialba</w:t>
            </w:r>
          </w:p>
        </w:tc>
      </w:tr>
      <w:tr w:rsidR="00E01CA0" w:rsidRPr="00BB53C0" w14:paraId="2970F339" w14:textId="77777777" w:rsidTr="00E01CA0">
        <w:trPr>
          <w:trHeight w:val="117"/>
          <w:jc w:val="center"/>
        </w:trPr>
        <w:tc>
          <w:tcPr>
            <w:tcW w:w="1242" w:type="dxa"/>
            <w:vMerge/>
            <w:shd w:val="clear" w:color="auto" w:fill="FFFFFF" w:themeFill="background1"/>
          </w:tcPr>
          <w:p w14:paraId="3ED56ABF"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1C6CF32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Cartago</w:t>
            </w:r>
          </w:p>
        </w:tc>
        <w:tc>
          <w:tcPr>
            <w:tcW w:w="2693" w:type="dxa"/>
            <w:gridSpan w:val="2"/>
            <w:shd w:val="clear" w:color="auto" w:fill="FFFFFF" w:themeFill="background1"/>
          </w:tcPr>
          <w:p w14:paraId="1AB83FB6"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San Ramón</w:t>
            </w:r>
          </w:p>
        </w:tc>
      </w:tr>
      <w:tr w:rsidR="00E01CA0" w:rsidRPr="00BB53C0" w14:paraId="4EFA8019" w14:textId="77777777" w:rsidTr="00E01CA0">
        <w:trPr>
          <w:trHeight w:val="117"/>
          <w:jc w:val="center"/>
        </w:trPr>
        <w:tc>
          <w:tcPr>
            <w:tcW w:w="1242" w:type="dxa"/>
            <w:vMerge/>
            <w:shd w:val="clear" w:color="auto" w:fill="FFFFFF" w:themeFill="background1"/>
          </w:tcPr>
          <w:p w14:paraId="6D2F9DD5"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56C6E332"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Heredia</w:t>
            </w:r>
          </w:p>
        </w:tc>
        <w:tc>
          <w:tcPr>
            <w:tcW w:w="2693" w:type="dxa"/>
            <w:gridSpan w:val="2"/>
            <w:shd w:val="clear" w:color="auto" w:fill="FFFFFF" w:themeFill="background1"/>
          </w:tcPr>
          <w:p w14:paraId="2706E7E2"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Cañas</w:t>
            </w:r>
          </w:p>
        </w:tc>
      </w:tr>
      <w:tr w:rsidR="00E01CA0" w:rsidRPr="00BB53C0" w14:paraId="56FB19DE" w14:textId="77777777" w:rsidTr="00E01CA0">
        <w:trPr>
          <w:trHeight w:val="117"/>
          <w:jc w:val="center"/>
        </w:trPr>
        <w:tc>
          <w:tcPr>
            <w:tcW w:w="1242" w:type="dxa"/>
            <w:vMerge/>
            <w:shd w:val="clear" w:color="auto" w:fill="FFFFFF" w:themeFill="background1"/>
          </w:tcPr>
          <w:p w14:paraId="7B11255B"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5BD311F0"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Liberia</w:t>
            </w:r>
          </w:p>
        </w:tc>
        <w:tc>
          <w:tcPr>
            <w:tcW w:w="2693" w:type="dxa"/>
            <w:gridSpan w:val="2"/>
            <w:shd w:val="clear" w:color="auto" w:fill="FFFFFF" w:themeFill="background1"/>
          </w:tcPr>
          <w:p w14:paraId="4B64040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Quepos</w:t>
            </w:r>
          </w:p>
        </w:tc>
      </w:tr>
      <w:tr w:rsidR="00E01CA0" w:rsidRPr="00BB53C0" w14:paraId="27322E01" w14:textId="77777777" w:rsidTr="00E01CA0">
        <w:trPr>
          <w:trHeight w:val="117"/>
          <w:jc w:val="center"/>
        </w:trPr>
        <w:tc>
          <w:tcPr>
            <w:tcW w:w="1242" w:type="dxa"/>
            <w:vMerge/>
            <w:shd w:val="clear" w:color="auto" w:fill="FFFFFF" w:themeFill="background1"/>
          </w:tcPr>
          <w:p w14:paraId="7A1C429F"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2934B9F6"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Limón</w:t>
            </w:r>
          </w:p>
        </w:tc>
        <w:tc>
          <w:tcPr>
            <w:tcW w:w="2693" w:type="dxa"/>
            <w:gridSpan w:val="2"/>
            <w:shd w:val="clear" w:color="auto" w:fill="FFFFFF" w:themeFill="background1"/>
          </w:tcPr>
          <w:p w14:paraId="66CED0EE"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Buenos Aires</w:t>
            </w:r>
          </w:p>
        </w:tc>
      </w:tr>
      <w:tr w:rsidR="00E01CA0" w:rsidRPr="00BB53C0" w14:paraId="10026C34" w14:textId="77777777" w:rsidTr="00E01CA0">
        <w:trPr>
          <w:trHeight w:val="117"/>
          <w:jc w:val="center"/>
        </w:trPr>
        <w:tc>
          <w:tcPr>
            <w:tcW w:w="1242" w:type="dxa"/>
            <w:vMerge/>
            <w:shd w:val="clear" w:color="auto" w:fill="FFFFFF" w:themeFill="background1"/>
          </w:tcPr>
          <w:p w14:paraId="4B1B9349"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7BEE36D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Pérez Zeledón</w:t>
            </w:r>
          </w:p>
        </w:tc>
        <w:tc>
          <w:tcPr>
            <w:tcW w:w="2693" w:type="dxa"/>
            <w:gridSpan w:val="2"/>
            <w:shd w:val="clear" w:color="auto" w:fill="FFFFFF" w:themeFill="background1"/>
          </w:tcPr>
          <w:p w14:paraId="7CBA3EA6"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Puriscal</w:t>
            </w:r>
          </w:p>
        </w:tc>
      </w:tr>
      <w:tr w:rsidR="00E01CA0" w:rsidRPr="00BB53C0" w14:paraId="65D48D26" w14:textId="77777777" w:rsidTr="00E01CA0">
        <w:trPr>
          <w:trHeight w:val="117"/>
          <w:jc w:val="center"/>
        </w:trPr>
        <w:tc>
          <w:tcPr>
            <w:tcW w:w="1242" w:type="dxa"/>
            <w:vMerge/>
            <w:shd w:val="clear" w:color="auto" w:fill="FFFFFF" w:themeFill="background1"/>
          </w:tcPr>
          <w:p w14:paraId="47FDD125"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6F4D5281"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Pococí</w:t>
            </w:r>
          </w:p>
        </w:tc>
        <w:tc>
          <w:tcPr>
            <w:tcW w:w="2693" w:type="dxa"/>
            <w:gridSpan w:val="2"/>
            <w:shd w:val="clear" w:color="auto" w:fill="FFFFFF" w:themeFill="background1"/>
          </w:tcPr>
          <w:p w14:paraId="04630572"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Nicoya-Santa Cruz</w:t>
            </w:r>
          </w:p>
        </w:tc>
      </w:tr>
      <w:tr w:rsidR="00E01CA0" w:rsidRPr="00BB53C0" w14:paraId="7481A91B" w14:textId="77777777" w:rsidTr="00E01CA0">
        <w:trPr>
          <w:trHeight w:val="117"/>
          <w:jc w:val="center"/>
        </w:trPr>
        <w:tc>
          <w:tcPr>
            <w:tcW w:w="1242" w:type="dxa"/>
            <w:vMerge/>
            <w:shd w:val="clear" w:color="auto" w:fill="FFFFFF" w:themeFill="background1"/>
          </w:tcPr>
          <w:p w14:paraId="2637E77D"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49B8637A"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Puntarenas</w:t>
            </w:r>
          </w:p>
        </w:tc>
        <w:tc>
          <w:tcPr>
            <w:tcW w:w="2693" w:type="dxa"/>
            <w:gridSpan w:val="2"/>
            <w:shd w:val="clear" w:color="auto" w:fill="FFFFFF" w:themeFill="background1"/>
          </w:tcPr>
          <w:p w14:paraId="41CD1A9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Corredores</w:t>
            </w:r>
          </w:p>
        </w:tc>
      </w:tr>
      <w:tr w:rsidR="00E01CA0" w:rsidRPr="00BB53C0" w14:paraId="492B532F" w14:textId="77777777" w:rsidTr="00E01CA0">
        <w:trPr>
          <w:trHeight w:val="274"/>
          <w:jc w:val="center"/>
        </w:trPr>
        <w:tc>
          <w:tcPr>
            <w:tcW w:w="1242" w:type="dxa"/>
            <w:vMerge/>
            <w:shd w:val="clear" w:color="auto" w:fill="FFFFFF" w:themeFill="background1"/>
          </w:tcPr>
          <w:p w14:paraId="2D416EFD" w14:textId="77777777" w:rsidR="00E01CA0" w:rsidRPr="00BB53C0" w:rsidRDefault="00E01CA0" w:rsidP="00F517CA">
            <w:pPr>
              <w:spacing w:after="0" w:line="360" w:lineRule="auto"/>
              <w:jc w:val="center"/>
              <w:rPr>
                <w:rFonts w:ascii="Arial" w:hAnsi="Arial" w:cs="Arial"/>
                <w:b/>
                <w:bCs/>
                <w:sz w:val="18"/>
                <w:szCs w:val="18"/>
              </w:rPr>
            </w:pPr>
          </w:p>
        </w:tc>
        <w:tc>
          <w:tcPr>
            <w:tcW w:w="2410" w:type="dxa"/>
            <w:shd w:val="clear" w:color="auto" w:fill="FFFFFF" w:themeFill="background1"/>
          </w:tcPr>
          <w:p w14:paraId="424BB541"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San José</w:t>
            </w:r>
          </w:p>
        </w:tc>
        <w:tc>
          <w:tcPr>
            <w:tcW w:w="2693" w:type="dxa"/>
            <w:gridSpan w:val="2"/>
            <w:shd w:val="clear" w:color="auto" w:fill="FFFFFF" w:themeFill="background1"/>
          </w:tcPr>
          <w:p w14:paraId="6D75542E"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Sarapiquí</w:t>
            </w:r>
          </w:p>
        </w:tc>
      </w:tr>
      <w:tr w:rsidR="00E01CA0" w:rsidRPr="00BB53C0" w14:paraId="42339A2E" w14:textId="77777777" w:rsidTr="00E01CA0">
        <w:trPr>
          <w:trHeight w:val="274"/>
          <w:jc w:val="center"/>
        </w:trPr>
        <w:tc>
          <w:tcPr>
            <w:tcW w:w="6345" w:type="dxa"/>
            <w:gridSpan w:val="4"/>
            <w:shd w:val="clear" w:color="auto" w:fill="6DADA5"/>
          </w:tcPr>
          <w:p w14:paraId="1E231043" w14:textId="77777777" w:rsidR="00E01CA0" w:rsidRPr="00BB53C0" w:rsidRDefault="00E01CA0" w:rsidP="00F517CA">
            <w:pPr>
              <w:spacing w:after="0" w:line="360" w:lineRule="auto"/>
              <w:jc w:val="center"/>
              <w:rPr>
                <w:rFonts w:ascii="Arial" w:hAnsi="Arial" w:cs="Arial"/>
                <w:color w:val="000000" w:themeColor="text1"/>
                <w:sz w:val="18"/>
                <w:szCs w:val="18"/>
              </w:rPr>
            </w:pPr>
          </w:p>
        </w:tc>
      </w:tr>
      <w:tr w:rsidR="00E01CA0" w:rsidRPr="00BB53C0" w14:paraId="738BA2BB" w14:textId="77777777" w:rsidTr="00E01CA0">
        <w:trPr>
          <w:trHeight w:val="352"/>
          <w:jc w:val="center"/>
        </w:trPr>
        <w:tc>
          <w:tcPr>
            <w:tcW w:w="1242" w:type="dxa"/>
            <w:vMerge w:val="restart"/>
            <w:tcBorders>
              <w:right w:val="nil"/>
            </w:tcBorders>
          </w:tcPr>
          <w:p w14:paraId="50AEA742" w14:textId="77777777" w:rsidR="00E01CA0" w:rsidRPr="00BB53C0" w:rsidRDefault="00E01CA0" w:rsidP="00F517CA">
            <w:pPr>
              <w:spacing w:after="0" w:line="360" w:lineRule="auto"/>
              <w:jc w:val="center"/>
              <w:rPr>
                <w:rFonts w:ascii="Arial" w:hAnsi="Arial" w:cs="Arial"/>
                <w:b/>
                <w:bCs/>
                <w:sz w:val="18"/>
                <w:szCs w:val="18"/>
              </w:rPr>
            </w:pPr>
          </w:p>
          <w:p w14:paraId="575372EE" w14:textId="77777777" w:rsidR="00E01CA0" w:rsidRPr="00BB53C0" w:rsidRDefault="00E01CA0" w:rsidP="00F517CA">
            <w:pPr>
              <w:spacing w:after="0" w:line="360" w:lineRule="auto"/>
              <w:jc w:val="center"/>
              <w:rPr>
                <w:rFonts w:ascii="Arial" w:hAnsi="Arial" w:cs="Arial"/>
                <w:b/>
                <w:bCs/>
                <w:sz w:val="18"/>
                <w:szCs w:val="18"/>
              </w:rPr>
            </w:pPr>
          </w:p>
          <w:p w14:paraId="376CFA24" w14:textId="77777777" w:rsidR="00E01CA0" w:rsidRPr="00BB53C0" w:rsidRDefault="00E01CA0" w:rsidP="00F517CA">
            <w:pPr>
              <w:spacing w:after="0" w:line="360" w:lineRule="auto"/>
              <w:jc w:val="center"/>
              <w:rPr>
                <w:rFonts w:ascii="Arial" w:hAnsi="Arial" w:cs="Arial"/>
                <w:b/>
                <w:bCs/>
                <w:sz w:val="18"/>
                <w:szCs w:val="18"/>
              </w:rPr>
            </w:pPr>
            <w:r w:rsidRPr="00BB53C0">
              <w:rPr>
                <w:rFonts w:ascii="Arial" w:hAnsi="Arial" w:cs="Arial"/>
                <w:b/>
                <w:bCs/>
                <w:sz w:val="18"/>
                <w:szCs w:val="18"/>
              </w:rPr>
              <w:t>JPR</w:t>
            </w:r>
          </w:p>
        </w:tc>
        <w:tc>
          <w:tcPr>
            <w:tcW w:w="2694" w:type="dxa"/>
            <w:gridSpan w:val="2"/>
            <w:tcBorders>
              <w:left w:val="nil"/>
              <w:right w:val="nil"/>
            </w:tcBorders>
          </w:tcPr>
          <w:p w14:paraId="6AC4FD3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Pavas</w:t>
            </w:r>
          </w:p>
        </w:tc>
        <w:tc>
          <w:tcPr>
            <w:tcW w:w="2409" w:type="dxa"/>
            <w:vMerge w:val="restart"/>
            <w:tcBorders>
              <w:left w:val="nil"/>
            </w:tcBorders>
          </w:tcPr>
          <w:p w14:paraId="2232DB0F" w14:textId="77777777" w:rsidR="00E01CA0" w:rsidRPr="00BB53C0" w:rsidRDefault="00E01CA0" w:rsidP="00F517CA">
            <w:pPr>
              <w:spacing w:after="0" w:line="360" w:lineRule="auto"/>
              <w:jc w:val="center"/>
              <w:rPr>
                <w:rFonts w:ascii="Arial" w:hAnsi="Arial" w:cs="Arial"/>
                <w:sz w:val="18"/>
                <w:szCs w:val="18"/>
              </w:rPr>
            </w:pPr>
          </w:p>
          <w:p w14:paraId="140A8B38"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San Ramón</w:t>
            </w:r>
          </w:p>
        </w:tc>
      </w:tr>
      <w:tr w:rsidR="00E01CA0" w:rsidRPr="00BB53C0" w14:paraId="1E651BB5" w14:textId="77777777" w:rsidTr="00E01CA0">
        <w:trPr>
          <w:trHeight w:val="226"/>
          <w:jc w:val="center"/>
        </w:trPr>
        <w:tc>
          <w:tcPr>
            <w:tcW w:w="1242" w:type="dxa"/>
            <w:vMerge/>
            <w:tcBorders>
              <w:right w:val="nil"/>
            </w:tcBorders>
          </w:tcPr>
          <w:p w14:paraId="4EEED366"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3B30C67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Goicoechea</w:t>
            </w:r>
          </w:p>
        </w:tc>
        <w:tc>
          <w:tcPr>
            <w:tcW w:w="2409" w:type="dxa"/>
            <w:vMerge/>
            <w:tcBorders>
              <w:left w:val="nil"/>
            </w:tcBorders>
          </w:tcPr>
          <w:p w14:paraId="5939EDD0"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59DF4881" w14:textId="77777777" w:rsidTr="00E01CA0">
        <w:trPr>
          <w:trHeight w:val="226"/>
          <w:jc w:val="center"/>
        </w:trPr>
        <w:tc>
          <w:tcPr>
            <w:tcW w:w="1242" w:type="dxa"/>
            <w:vMerge/>
            <w:tcBorders>
              <w:right w:val="nil"/>
            </w:tcBorders>
          </w:tcPr>
          <w:p w14:paraId="27E4ABBF"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0A9D92AF"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Heredia</w:t>
            </w:r>
          </w:p>
        </w:tc>
        <w:tc>
          <w:tcPr>
            <w:tcW w:w="2409" w:type="dxa"/>
            <w:vMerge/>
            <w:tcBorders>
              <w:left w:val="nil"/>
            </w:tcBorders>
          </w:tcPr>
          <w:p w14:paraId="5A110450"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0F4F93DB" w14:textId="77777777" w:rsidTr="00E01CA0">
        <w:trPr>
          <w:trHeight w:val="226"/>
          <w:jc w:val="center"/>
        </w:trPr>
        <w:tc>
          <w:tcPr>
            <w:tcW w:w="1242" w:type="dxa"/>
            <w:vMerge/>
            <w:tcBorders>
              <w:right w:val="nil"/>
            </w:tcBorders>
          </w:tcPr>
          <w:p w14:paraId="65ED55BA"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5CFEAABE"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Cartago</w:t>
            </w:r>
          </w:p>
        </w:tc>
        <w:tc>
          <w:tcPr>
            <w:tcW w:w="2409" w:type="dxa"/>
            <w:vMerge w:val="restart"/>
            <w:tcBorders>
              <w:left w:val="nil"/>
            </w:tcBorders>
          </w:tcPr>
          <w:p w14:paraId="30E923A0"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Alajuela</w:t>
            </w:r>
          </w:p>
          <w:p w14:paraId="7B087A7A"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03F0E068" w14:textId="77777777" w:rsidTr="00E01CA0">
        <w:trPr>
          <w:trHeight w:val="226"/>
          <w:jc w:val="center"/>
        </w:trPr>
        <w:tc>
          <w:tcPr>
            <w:tcW w:w="1242" w:type="dxa"/>
            <w:vMerge/>
            <w:tcBorders>
              <w:right w:val="nil"/>
            </w:tcBorders>
          </w:tcPr>
          <w:p w14:paraId="7AE80402"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31EEBD8F"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Pococí</w:t>
            </w:r>
          </w:p>
        </w:tc>
        <w:tc>
          <w:tcPr>
            <w:tcW w:w="2409" w:type="dxa"/>
            <w:vMerge/>
            <w:tcBorders>
              <w:left w:val="nil"/>
            </w:tcBorders>
          </w:tcPr>
          <w:p w14:paraId="2EEAE21B"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5AB1FE59" w14:textId="77777777" w:rsidTr="00E01CA0">
        <w:trPr>
          <w:trHeight w:val="226"/>
          <w:jc w:val="center"/>
        </w:trPr>
        <w:tc>
          <w:tcPr>
            <w:tcW w:w="1242" w:type="dxa"/>
            <w:vMerge/>
            <w:tcBorders>
              <w:right w:val="nil"/>
            </w:tcBorders>
          </w:tcPr>
          <w:p w14:paraId="4ADDAAE8"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34F257CE"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Pérez Zeledón</w:t>
            </w:r>
          </w:p>
        </w:tc>
        <w:tc>
          <w:tcPr>
            <w:tcW w:w="2409" w:type="dxa"/>
            <w:vMerge w:val="restart"/>
            <w:tcBorders>
              <w:left w:val="nil"/>
            </w:tcBorders>
          </w:tcPr>
          <w:p w14:paraId="501F454A"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Limón</w:t>
            </w:r>
          </w:p>
        </w:tc>
      </w:tr>
      <w:tr w:rsidR="00E01CA0" w:rsidRPr="00BB53C0" w14:paraId="0BB34A35" w14:textId="77777777" w:rsidTr="00E01CA0">
        <w:trPr>
          <w:trHeight w:val="262"/>
          <w:jc w:val="center"/>
        </w:trPr>
        <w:tc>
          <w:tcPr>
            <w:tcW w:w="1242" w:type="dxa"/>
            <w:vMerge/>
            <w:tcBorders>
              <w:right w:val="nil"/>
            </w:tcBorders>
          </w:tcPr>
          <w:p w14:paraId="79778DB2"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7A83DF0B"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Puntarenas</w:t>
            </w:r>
          </w:p>
        </w:tc>
        <w:tc>
          <w:tcPr>
            <w:tcW w:w="2409" w:type="dxa"/>
            <w:vMerge/>
            <w:tcBorders>
              <w:left w:val="nil"/>
            </w:tcBorders>
          </w:tcPr>
          <w:p w14:paraId="3010B317"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45592641" w14:textId="77777777" w:rsidTr="00E01CA0">
        <w:trPr>
          <w:trHeight w:val="262"/>
          <w:jc w:val="center"/>
        </w:trPr>
        <w:tc>
          <w:tcPr>
            <w:tcW w:w="6345" w:type="dxa"/>
            <w:gridSpan w:val="4"/>
            <w:shd w:val="clear" w:color="auto" w:fill="6DADA5"/>
          </w:tcPr>
          <w:p w14:paraId="7832865A" w14:textId="77777777" w:rsidR="00E01CA0" w:rsidRPr="00BB53C0" w:rsidRDefault="00E01CA0" w:rsidP="00F517CA">
            <w:pPr>
              <w:spacing w:after="0" w:line="360" w:lineRule="auto"/>
              <w:rPr>
                <w:rFonts w:ascii="Arial" w:hAnsi="Arial" w:cs="Arial"/>
                <w:sz w:val="18"/>
                <w:szCs w:val="18"/>
              </w:rPr>
            </w:pPr>
          </w:p>
        </w:tc>
      </w:tr>
      <w:tr w:rsidR="00E01CA0" w:rsidRPr="00BB53C0" w14:paraId="6830DD4E" w14:textId="77777777" w:rsidTr="00E01CA0">
        <w:trPr>
          <w:trHeight w:val="194"/>
          <w:jc w:val="center"/>
        </w:trPr>
        <w:tc>
          <w:tcPr>
            <w:tcW w:w="1242" w:type="dxa"/>
            <w:vMerge w:val="restart"/>
            <w:tcBorders>
              <w:right w:val="nil"/>
            </w:tcBorders>
          </w:tcPr>
          <w:p w14:paraId="081D5353" w14:textId="77777777" w:rsidR="00E01CA0" w:rsidRPr="00BB53C0" w:rsidRDefault="00E01CA0" w:rsidP="00F517CA">
            <w:pPr>
              <w:spacing w:after="0" w:line="360" w:lineRule="auto"/>
              <w:jc w:val="center"/>
              <w:rPr>
                <w:rFonts w:ascii="Arial" w:hAnsi="Arial" w:cs="Arial"/>
                <w:b/>
                <w:bCs/>
                <w:sz w:val="18"/>
                <w:szCs w:val="18"/>
              </w:rPr>
            </w:pPr>
          </w:p>
          <w:p w14:paraId="6812441B" w14:textId="77777777" w:rsidR="00E01CA0" w:rsidRPr="00BB53C0" w:rsidRDefault="00E01CA0" w:rsidP="00F517CA">
            <w:pPr>
              <w:spacing w:after="0" w:line="360" w:lineRule="auto"/>
              <w:jc w:val="center"/>
              <w:rPr>
                <w:rFonts w:ascii="Arial" w:hAnsi="Arial" w:cs="Arial"/>
                <w:b/>
                <w:bCs/>
                <w:sz w:val="18"/>
                <w:szCs w:val="18"/>
              </w:rPr>
            </w:pPr>
          </w:p>
          <w:p w14:paraId="1FCBBF6A" w14:textId="77777777" w:rsidR="00E01CA0" w:rsidRPr="00BB53C0" w:rsidRDefault="00E01CA0" w:rsidP="00F517CA">
            <w:pPr>
              <w:spacing w:after="0" w:line="360" w:lineRule="auto"/>
              <w:jc w:val="center"/>
              <w:rPr>
                <w:rFonts w:ascii="Arial" w:hAnsi="Arial" w:cs="Arial"/>
                <w:b/>
                <w:bCs/>
                <w:sz w:val="18"/>
                <w:szCs w:val="18"/>
              </w:rPr>
            </w:pPr>
          </w:p>
          <w:p w14:paraId="667B05CB" w14:textId="77777777" w:rsidR="00E01CA0" w:rsidRPr="00BB53C0" w:rsidRDefault="00E01CA0" w:rsidP="00F517CA">
            <w:pPr>
              <w:spacing w:after="0" w:line="360" w:lineRule="auto"/>
              <w:jc w:val="center"/>
              <w:rPr>
                <w:rFonts w:ascii="Arial" w:hAnsi="Arial" w:cs="Arial"/>
                <w:b/>
                <w:bCs/>
                <w:sz w:val="18"/>
                <w:szCs w:val="18"/>
              </w:rPr>
            </w:pPr>
          </w:p>
          <w:p w14:paraId="189A371B" w14:textId="77777777" w:rsidR="00E01CA0" w:rsidRPr="00BB53C0" w:rsidRDefault="00E01CA0" w:rsidP="00F517CA">
            <w:pPr>
              <w:spacing w:after="0" w:line="360" w:lineRule="auto"/>
              <w:jc w:val="center"/>
              <w:rPr>
                <w:rFonts w:ascii="Arial" w:hAnsi="Arial" w:cs="Arial"/>
                <w:b/>
                <w:bCs/>
                <w:sz w:val="18"/>
                <w:szCs w:val="18"/>
              </w:rPr>
            </w:pPr>
            <w:r w:rsidRPr="00BB53C0">
              <w:rPr>
                <w:rFonts w:ascii="Arial" w:hAnsi="Arial" w:cs="Arial"/>
                <w:b/>
                <w:bCs/>
                <w:sz w:val="18"/>
                <w:szCs w:val="18"/>
              </w:rPr>
              <w:t>Contravenciones</w:t>
            </w:r>
          </w:p>
        </w:tc>
        <w:tc>
          <w:tcPr>
            <w:tcW w:w="2694" w:type="dxa"/>
            <w:gridSpan w:val="2"/>
            <w:tcBorders>
              <w:left w:val="nil"/>
              <w:right w:val="nil"/>
            </w:tcBorders>
          </w:tcPr>
          <w:p w14:paraId="6F40D209"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 xml:space="preserve">JJR-Casas de Justicia San José </w:t>
            </w:r>
          </w:p>
        </w:tc>
        <w:tc>
          <w:tcPr>
            <w:tcW w:w="2409" w:type="dxa"/>
            <w:vMerge w:val="restart"/>
            <w:tcBorders>
              <w:left w:val="nil"/>
            </w:tcBorders>
          </w:tcPr>
          <w:p w14:paraId="24C68B32" w14:textId="77777777" w:rsidR="00E01CA0" w:rsidRPr="00BB53C0" w:rsidRDefault="00E01CA0" w:rsidP="00F517CA">
            <w:pPr>
              <w:spacing w:after="0" w:line="360" w:lineRule="auto"/>
              <w:jc w:val="center"/>
              <w:rPr>
                <w:rFonts w:ascii="Arial" w:hAnsi="Arial" w:cs="Arial"/>
                <w:sz w:val="18"/>
                <w:szCs w:val="18"/>
              </w:rPr>
            </w:pPr>
          </w:p>
          <w:p w14:paraId="6FD6D49A" w14:textId="77777777" w:rsidR="00E01CA0" w:rsidRPr="00BB53C0" w:rsidRDefault="00E01CA0" w:rsidP="00F517CA">
            <w:pPr>
              <w:spacing w:after="0" w:line="360" w:lineRule="auto"/>
              <w:jc w:val="center"/>
              <w:rPr>
                <w:rFonts w:ascii="Arial" w:hAnsi="Arial" w:cs="Arial"/>
                <w:sz w:val="18"/>
                <w:szCs w:val="18"/>
              </w:rPr>
            </w:pPr>
          </w:p>
          <w:p w14:paraId="1FA7172D"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JJR-Casas de Justicia Nicoya</w:t>
            </w:r>
          </w:p>
        </w:tc>
      </w:tr>
      <w:tr w:rsidR="00E01CA0" w:rsidRPr="00BB53C0" w14:paraId="50AD8123" w14:textId="77777777" w:rsidTr="00E01CA0">
        <w:trPr>
          <w:trHeight w:val="194"/>
          <w:jc w:val="center"/>
        </w:trPr>
        <w:tc>
          <w:tcPr>
            <w:tcW w:w="1242" w:type="dxa"/>
            <w:vMerge/>
            <w:tcBorders>
              <w:right w:val="nil"/>
            </w:tcBorders>
          </w:tcPr>
          <w:p w14:paraId="35A6EFE0"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604D257C"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JJR-Casas de Justicia Cartago</w:t>
            </w:r>
          </w:p>
        </w:tc>
        <w:tc>
          <w:tcPr>
            <w:tcW w:w="2409" w:type="dxa"/>
            <w:vMerge/>
            <w:tcBorders>
              <w:left w:val="nil"/>
            </w:tcBorders>
          </w:tcPr>
          <w:p w14:paraId="0AA40055"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53BE18A5" w14:textId="77777777" w:rsidTr="00E01CA0">
        <w:trPr>
          <w:trHeight w:val="194"/>
          <w:jc w:val="center"/>
        </w:trPr>
        <w:tc>
          <w:tcPr>
            <w:tcW w:w="1242" w:type="dxa"/>
            <w:vMerge/>
            <w:tcBorders>
              <w:right w:val="nil"/>
            </w:tcBorders>
          </w:tcPr>
          <w:p w14:paraId="2B4007C3"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52769AD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JJR-Casas de Justicia Heredia</w:t>
            </w:r>
          </w:p>
        </w:tc>
        <w:tc>
          <w:tcPr>
            <w:tcW w:w="2409" w:type="dxa"/>
            <w:vMerge/>
            <w:tcBorders>
              <w:left w:val="nil"/>
            </w:tcBorders>
          </w:tcPr>
          <w:p w14:paraId="2B1EB2CC"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67D7485E" w14:textId="77777777" w:rsidTr="00E01CA0">
        <w:trPr>
          <w:trHeight w:val="194"/>
          <w:jc w:val="center"/>
        </w:trPr>
        <w:tc>
          <w:tcPr>
            <w:tcW w:w="1242" w:type="dxa"/>
            <w:vMerge/>
            <w:tcBorders>
              <w:right w:val="nil"/>
            </w:tcBorders>
          </w:tcPr>
          <w:p w14:paraId="3EC4584B"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0D7C13BC"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JJR-Casas de Justicia Puntarenas</w:t>
            </w:r>
          </w:p>
        </w:tc>
        <w:tc>
          <w:tcPr>
            <w:tcW w:w="2409" w:type="dxa"/>
            <w:vMerge/>
            <w:tcBorders>
              <w:left w:val="nil"/>
            </w:tcBorders>
          </w:tcPr>
          <w:p w14:paraId="6C0DC8A5"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79F33B2B" w14:textId="77777777" w:rsidTr="00E01CA0">
        <w:trPr>
          <w:trHeight w:val="194"/>
          <w:jc w:val="center"/>
        </w:trPr>
        <w:tc>
          <w:tcPr>
            <w:tcW w:w="1242" w:type="dxa"/>
            <w:vMerge/>
            <w:tcBorders>
              <w:right w:val="nil"/>
            </w:tcBorders>
          </w:tcPr>
          <w:p w14:paraId="490023AD"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25658269"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JJR-Casas de Justicia San Ramón</w:t>
            </w:r>
          </w:p>
        </w:tc>
        <w:tc>
          <w:tcPr>
            <w:tcW w:w="2409" w:type="dxa"/>
            <w:vMerge/>
            <w:tcBorders>
              <w:left w:val="nil"/>
            </w:tcBorders>
          </w:tcPr>
          <w:p w14:paraId="4248B276"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0DAD1910" w14:textId="77777777" w:rsidTr="00E01CA0">
        <w:trPr>
          <w:trHeight w:val="194"/>
          <w:jc w:val="center"/>
        </w:trPr>
        <w:tc>
          <w:tcPr>
            <w:tcW w:w="1242" w:type="dxa"/>
            <w:vMerge/>
            <w:tcBorders>
              <w:right w:val="nil"/>
            </w:tcBorders>
          </w:tcPr>
          <w:p w14:paraId="0331ECD1"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2D56BBB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JJR-Casas de Justicia San Carlos</w:t>
            </w:r>
          </w:p>
        </w:tc>
        <w:tc>
          <w:tcPr>
            <w:tcW w:w="2409" w:type="dxa"/>
            <w:vMerge/>
            <w:tcBorders>
              <w:left w:val="nil"/>
            </w:tcBorders>
          </w:tcPr>
          <w:p w14:paraId="736BE7EB"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0DABD5DA" w14:textId="77777777" w:rsidTr="00E01CA0">
        <w:trPr>
          <w:trHeight w:val="194"/>
          <w:jc w:val="center"/>
        </w:trPr>
        <w:tc>
          <w:tcPr>
            <w:tcW w:w="1242" w:type="dxa"/>
            <w:vMerge/>
            <w:tcBorders>
              <w:right w:val="nil"/>
            </w:tcBorders>
            <w:shd w:val="clear" w:color="auto" w:fill="6DADA5"/>
          </w:tcPr>
          <w:p w14:paraId="44A72380"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shd w:val="clear" w:color="auto" w:fill="6DADA5"/>
          </w:tcPr>
          <w:p w14:paraId="5B09B12D"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shd w:val="clear" w:color="auto" w:fill="6DADA5"/>
          </w:tcPr>
          <w:p w14:paraId="1DDEF6B9"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03B60E14" w14:textId="77777777" w:rsidTr="00E01CA0">
        <w:trPr>
          <w:trHeight w:val="194"/>
          <w:jc w:val="center"/>
        </w:trPr>
        <w:tc>
          <w:tcPr>
            <w:tcW w:w="1242" w:type="dxa"/>
            <w:vMerge/>
            <w:tcBorders>
              <w:right w:val="nil"/>
            </w:tcBorders>
          </w:tcPr>
          <w:p w14:paraId="1437B9FB"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val="restart"/>
            <w:tcBorders>
              <w:left w:val="nil"/>
              <w:right w:val="nil"/>
            </w:tcBorders>
          </w:tcPr>
          <w:p w14:paraId="38E684FC" w14:textId="77777777" w:rsidR="00E01CA0" w:rsidRPr="00BB53C0" w:rsidRDefault="00E01CA0" w:rsidP="00F517CA">
            <w:pPr>
              <w:spacing w:after="0" w:line="360" w:lineRule="auto"/>
              <w:jc w:val="center"/>
              <w:rPr>
                <w:rFonts w:ascii="Arial" w:hAnsi="Arial" w:cs="Arial"/>
                <w:sz w:val="18"/>
                <w:szCs w:val="18"/>
              </w:rPr>
            </w:pPr>
          </w:p>
          <w:p w14:paraId="7E88973A"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Pavas</w:t>
            </w:r>
          </w:p>
        </w:tc>
        <w:tc>
          <w:tcPr>
            <w:tcW w:w="2409" w:type="dxa"/>
            <w:tcBorders>
              <w:left w:val="nil"/>
            </w:tcBorders>
          </w:tcPr>
          <w:p w14:paraId="591E8A8C"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Limón</w:t>
            </w:r>
          </w:p>
        </w:tc>
      </w:tr>
      <w:tr w:rsidR="00E01CA0" w:rsidRPr="00BB53C0" w14:paraId="6A0E16D4" w14:textId="77777777" w:rsidTr="00E01CA0">
        <w:trPr>
          <w:trHeight w:val="194"/>
          <w:jc w:val="center"/>
        </w:trPr>
        <w:tc>
          <w:tcPr>
            <w:tcW w:w="1242" w:type="dxa"/>
            <w:vMerge/>
            <w:tcBorders>
              <w:right w:val="nil"/>
            </w:tcBorders>
          </w:tcPr>
          <w:p w14:paraId="7A46DA59"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0B33744F"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5001A46F"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Alajuela</w:t>
            </w:r>
          </w:p>
        </w:tc>
      </w:tr>
      <w:tr w:rsidR="00E01CA0" w:rsidRPr="00BB53C0" w14:paraId="367B46D4" w14:textId="77777777" w:rsidTr="00E01CA0">
        <w:trPr>
          <w:trHeight w:val="194"/>
          <w:jc w:val="center"/>
        </w:trPr>
        <w:tc>
          <w:tcPr>
            <w:tcW w:w="1242" w:type="dxa"/>
            <w:vMerge/>
            <w:tcBorders>
              <w:right w:val="nil"/>
            </w:tcBorders>
          </w:tcPr>
          <w:p w14:paraId="398EC16C"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349F101F"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553A3E77"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Liberia</w:t>
            </w:r>
          </w:p>
        </w:tc>
      </w:tr>
      <w:tr w:rsidR="00E01CA0" w:rsidRPr="00BB53C0" w14:paraId="734D3F7E" w14:textId="77777777" w:rsidTr="00E01CA0">
        <w:trPr>
          <w:trHeight w:val="170"/>
          <w:jc w:val="center"/>
        </w:trPr>
        <w:tc>
          <w:tcPr>
            <w:tcW w:w="1242" w:type="dxa"/>
            <w:vMerge/>
            <w:tcBorders>
              <w:right w:val="nil"/>
            </w:tcBorders>
          </w:tcPr>
          <w:p w14:paraId="32590690"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val="restart"/>
            <w:tcBorders>
              <w:left w:val="nil"/>
              <w:right w:val="nil"/>
            </w:tcBorders>
          </w:tcPr>
          <w:p w14:paraId="1C5D8A19" w14:textId="77777777" w:rsidR="00E01CA0" w:rsidRPr="00BB53C0" w:rsidRDefault="00E01CA0" w:rsidP="00F517CA">
            <w:pPr>
              <w:spacing w:after="0" w:line="360" w:lineRule="auto"/>
              <w:jc w:val="center"/>
              <w:rPr>
                <w:rFonts w:ascii="Arial" w:hAnsi="Arial" w:cs="Arial"/>
                <w:sz w:val="18"/>
                <w:szCs w:val="18"/>
              </w:rPr>
            </w:pPr>
          </w:p>
          <w:p w14:paraId="4B879502"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Puntarenas</w:t>
            </w:r>
          </w:p>
        </w:tc>
        <w:tc>
          <w:tcPr>
            <w:tcW w:w="2409" w:type="dxa"/>
            <w:tcBorders>
              <w:left w:val="nil"/>
            </w:tcBorders>
          </w:tcPr>
          <w:p w14:paraId="2B6C42D9"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Cartago</w:t>
            </w:r>
          </w:p>
        </w:tc>
      </w:tr>
      <w:tr w:rsidR="00E01CA0" w:rsidRPr="00BB53C0" w14:paraId="161BEECB" w14:textId="77777777" w:rsidTr="00E01CA0">
        <w:trPr>
          <w:trHeight w:val="170"/>
          <w:jc w:val="center"/>
        </w:trPr>
        <w:tc>
          <w:tcPr>
            <w:tcW w:w="1242" w:type="dxa"/>
            <w:vMerge/>
            <w:tcBorders>
              <w:right w:val="nil"/>
            </w:tcBorders>
          </w:tcPr>
          <w:p w14:paraId="7589BB9B"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3FEF2CCF"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5596D2A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Goicoechea</w:t>
            </w:r>
          </w:p>
        </w:tc>
      </w:tr>
      <w:tr w:rsidR="00E01CA0" w:rsidRPr="00BB53C0" w14:paraId="20EECFD1" w14:textId="77777777" w:rsidTr="00E01CA0">
        <w:trPr>
          <w:trHeight w:val="170"/>
          <w:jc w:val="center"/>
        </w:trPr>
        <w:tc>
          <w:tcPr>
            <w:tcW w:w="1242" w:type="dxa"/>
            <w:vMerge/>
            <w:tcBorders>
              <w:right w:val="nil"/>
            </w:tcBorders>
          </w:tcPr>
          <w:p w14:paraId="48A495F9"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6D1A3C15"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227FEE89"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Heredia</w:t>
            </w:r>
          </w:p>
        </w:tc>
      </w:tr>
      <w:tr w:rsidR="00E01CA0" w:rsidRPr="00BB53C0" w14:paraId="2352FDBB" w14:textId="77777777" w:rsidTr="00E01CA0">
        <w:trPr>
          <w:trHeight w:val="170"/>
          <w:jc w:val="center"/>
        </w:trPr>
        <w:tc>
          <w:tcPr>
            <w:tcW w:w="6345" w:type="dxa"/>
            <w:gridSpan w:val="4"/>
            <w:shd w:val="clear" w:color="auto" w:fill="6DADA5"/>
          </w:tcPr>
          <w:p w14:paraId="04A75ACC" w14:textId="77777777" w:rsidR="00E01CA0" w:rsidRPr="00BB53C0" w:rsidRDefault="00E01CA0" w:rsidP="00F517CA">
            <w:pPr>
              <w:spacing w:after="0" w:line="360" w:lineRule="auto"/>
              <w:rPr>
                <w:rFonts w:ascii="Arial" w:hAnsi="Arial" w:cs="Arial"/>
                <w:sz w:val="18"/>
                <w:szCs w:val="18"/>
              </w:rPr>
            </w:pPr>
          </w:p>
        </w:tc>
      </w:tr>
      <w:tr w:rsidR="00E01CA0" w:rsidRPr="00BB53C0" w14:paraId="2C96FEC6" w14:textId="77777777" w:rsidTr="00E01CA0">
        <w:trPr>
          <w:trHeight w:val="160"/>
          <w:jc w:val="center"/>
        </w:trPr>
        <w:tc>
          <w:tcPr>
            <w:tcW w:w="1242" w:type="dxa"/>
            <w:vMerge w:val="restart"/>
            <w:tcBorders>
              <w:right w:val="nil"/>
            </w:tcBorders>
          </w:tcPr>
          <w:p w14:paraId="41DCBC8F" w14:textId="77777777" w:rsidR="00E01CA0" w:rsidRPr="00BB53C0" w:rsidRDefault="00E01CA0" w:rsidP="00F517CA">
            <w:pPr>
              <w:spacing w:after="0" w:line="360" w:lineRule="auto"/>
              <w:jc w:val="center"/>
              <w:rPr>
                <w:rFonts w:ascii="Arial" w:hAnsi="Arial" w:cs="Arial"/>
                <w:b/>
                <w:bCs/>
                <w:sz w:val="18"/>
                <w:szCs w:val="18"/>
              </w:rPr>
            </w:pPr>
          </w:p>
          <w:p w14:paraId="4C3A9AAE" w14:textId="77777777" w:rsidR="00E01CA0" w:rsidRPr="00BB53C0" w:rsidRDefault="00E01CA0" w:rsidP="00F517CA">
            <w:pPr>
              <w:spacing w:after="0" w:line="360" w:lineRule="auto"/>
              <w:jc w:val="center"/>
              <w:rPr>
                <w:rFonts w:ascii="Arial" w:hAnsi="Arial" w:cs="Arial"/>
                <w:b/>
                <w:bCs/>
                <w:sz w:val="18"/>
                <w:szCs w:val="18"/>
              </w:rPr>
            </w:pPr>
          </w:p>
          <w:p w14:paraId="7F4CF227" w14:textId="77777777" w:rsidR="00E01CA0" w:rsidRPr="00BB53C0" w:rsidRDefault="00E01CA0" w:rsidP="00F517CA">
            <w:pPr>
              <w:spacing w:after="0" w:line="360" w:lineRule="auto"/>
              <w:jc w:val="center"/>
              <w:rPr>
                <w:rFonts w:ascii="Arial" w:hAnsi="Arial" w:cs="Arial"/>
                <w:b/>
                <w:bCs/>
                <w:sz w:val="18"/>
                <w:szCs w:val="18"/>
              </w:rPr>
            </w:pPr>
          </w:p>
          <w:p w14:paraId="45F2C66B" w14:textId="77777777" w:rsidR="00E01CA0" w:rsidRPr="00BB53C0" w:rsidRDefault="00E01CA0" w:rsidP="00F517CA">
            <w:pPr>
              <w:spacing w:after="0" w:line="360" w:lineRule="auto"/>
              <w:jc w:val="center"/>
              <w:rPr>
                <w:rFonts w:ascii="Arial" w:hAnsi="Arial" w:cs="Arial"/>
                <w:b/>
                <w:bCs/>
                <w:sz w:val="18"/>
                <w:szCs w:val="18"/>
              </w:rPr>
            </w:pPr>
            <w:r w:rsidRPr="00BB53C0">
              <w:rPr>
                <w:rFonts w:ascii="Arial" w:hAnsi="Arial" w:cs="Arial"/>
                <w:b/>
                <w:bCs/>
                <w:sz w:val="18"/>
                <w:szCs w:val="18"/>
              </w:rPr>
              <w:t>PTDJ</w:t>
            </w:r>
          </w:p>
        </w:tc>
        <w:tc>
          <w:tcPr>
            <w:tcW w:w="2694" w:type="dxa"/>
            <w:gridSpan w:val="2"/>
            <w:vMerge w:val="restart"/>
            <w:tcBorders>
              <w:left w:val="nil"/>
              <w:right w:val="nil"/>
            </w:tcBorders>
          </w:tcPr>
          <w:p w14:paraId="0DB2C147" w14:textId="77777777" w:rsidR="00E01CA0" w:rsidRPr="00BB53C0" w:rsidRDefault="00E01CA0" w:rsidP="00F517CA">
            <w:pPr>
              <w:spacing w:after="0" w:line="360" w:lineRule="auto"/>
              <w:jc w:val="center"/>
              <w:rPr>
                <w:rFonts w:ascii="Arial" w:hAnsi="Arial" w:cs="Arial"/>
                <w:sz w:val="18"/>
                <w:szCs w:val="18"/>
              </w:rPr>
            </w:pPr>
          </w:p>
          <w:p w14:paraId="1DAD826F" w14:textId="77777777" w:rsidR="00E01CA0" w:rsidRPr="00BB53C0" w:rsidRDefault="00E01CA0" w:rsidP="00F517CA">
            <w:pPr>
              <w:spacing w:after="0" w:line="360" w:lineRule="auto"/>
              <w:jc w:val="center"/>
              <w:rPr>
                <w:rFonts w:ascii="Arial" w:hAnsi="Arial" w:cs="Arial"/>
                <w:sz w:val="18"/>
                <w:szCs w:val="18"/>
              </w:rPr>
            </w:pPr>
          </w:p>
          <w:p w14:paraId="2471944C" w14:textId="77777777" w:rsidR="00E01CA0" w:rsidRPr="00BB53C0" w:rsidRDefault="00E01CA0" w:rsidP="00F517CA">
            <w:pPr>
              <w:spacing w:after="0" w:line="360" w:lineRule="auto"/>
              <w:jc w:val="center"/>
              <w:rPr>
                <w:rFonts w:ascii="Arial" w:hAnsi="Arial" w:cs="Arial"/>
                <w:sz w:val="18"/>
                <w:szCs w:val="18"/>
              </w:rPr>
            </w:pPr>
          </w:p>
          <w:p w14:paraId="3452F56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w:t>
            </w:r>
          </w:p>
        </w:tc>
        <w:tc>
          <w:tcPr>
            <w:tcW w:w="2409" w:type="dxa"/>
            <w:tcBorders>
              <w:left w:val="nil"/>
            </w:tcBorders>
          </w:tcPr>
          <w:p w14:paraId="6D9C9F4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 San José</w:t>
            </w:r>
          </w:p>
        </w:tc>
      </w:tr>
      <w:tr w:rsidR="00E01CA0" w:rsidRPr="00BB53C0" w14:paraId="35CDC39C" w14:textId="77777777" w:rsidTr="00E01CA0">
        <w:trPr>
          <w:trHeight w:val="160"/>
          <w:jc w:val="center"/>
        </w:trPr>
        <w:tc>
          <w:tcPr>
            <w:tcW w:w="1242" w:type="dxa"/>
            <w:vMerge/>
            <w:tcBorders>
              <w:right w:val="nil"/>
            </w:tcBorders>
          </w:tcPr>
          <w:p w14:paraId="37B8AA34"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4266502D"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6A1EAC88"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 Limón</w:t>
            </w:r>
          </w:p>
        </w:tc>
      </w:tr>
      <w:tr w:rsidR="00E01CA0" w:rsidRPr="00BB53C0" w14:paraId="070C1218" w14:textId="77777777" w:rsidTr="00E01CA0">
        <w:trPr>
          <w:trHeight w:val="160"/>
          <w:jc w:val="center"/>
        </w:trPr>
        <w:tc>
          <w:tcPr>
            <w:tcW w:w="1242" w:type="dxa"/>
            <w:vMerge/>
            <w:tcBorders>
              <w:right w:val="nil"/>
            </w:tcBorders>
          </w:tcPr>
          <w:p w14:paraId="31D60839"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7B06304B"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3777B94A"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 Pérez Zeledón</w:t>
            </w:r>
          </w:p>
        </w:tc>
      </w:tr>
      <w:tr w:rsidR="00E01CA0" w:rsidRPr="00BB53C0" w14:paraId="6772FEED" w14:textId="77777777" w:rsidTr="00E01CA0">
        <w:trPr>
          <w:trHeight w:val="160"/>
          <w:jc w:val="center"/>
        </w:trPr>
        <w:tc>
          <w:tcPr>
            <w:tcW w:w="1242" w:type="dxa"/>
            <w:vMerge/>
            <w:tcBorders>
              <w:right w:val="nil"/>
            </w:tcBorders>
          </w:tcPr>
          <w:p w14:paraId="751EDDC2"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3C2E60C6"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5A436B2A"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 Cartago</w:t>
            </w:r>
          </w:p>
        </w:tc>
      </w:tr>
      <w:tr w:rsidR="00E01CA0" w:rsidRPr="00BB53C0" w14:paraId="7A26A9A5" w14:textId="77777777" w:rsidTr="00E01CA0">
        <w:trPr>
          <w:trHeight w:val="160"/>
          <w:jc w:val="center"/>
        </w:trPr>
        <w:tc>
          <w:tcPr>
            <w:tcW w:w="1242" w:type="dxa"/>
            <w:vMerge/>
            <w:tcBorders>
              <w:right w:val="nil"/>
            </w:tcBorders>
          </w:tcPr>
          <w:p w14:paraId="41AAADAD"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4BD5AF0C"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5FA93A19"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 Heredia</w:t>
            </w:r>
          </w:p>
        </w:tc>
      </w:tr>
      <w:tr w:rsidR="00E01CA0" w:rsidRPr="00BB53C0" w14:paraId="59C2E9FC" w14:textId="77777777" w:rsidTr="00E01CA0">
        <w:trPr>
          <w:trHeight w:val="160"/>
          <w:jc w:val="center"/>
        </w:trPr>
        <w:tc>
          <w:tcPr>
            <w:tcW w:w="1242" w:type="dxa"/>
            <w:vMerge/>
            <w:tcBorders>
              <w:right w:val="nil"/>
            </w:tcBorders>
          </w:tcPr>
          <w:p w14:paraId="3847139B"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19C7F41B" w14:textId="77777777" w:rsidR="00E01CA0" w:rsidRPr="00BB53C0" w:rsidRDefault="00E01CA0" w:rsidP="00F517CA">
            <w:pPr>
              <w:spacing w:after="0" w:line="360" w:lineRule="auto"/>
              <w:jc w:val="center"/>
              <w:rPr>
                <w:rFonts w:ascii="Arial" w:hAnsi="Arial" w:cs="Arial"/>
                <w:sz w:val="18"/>
                <w:szCs w:val="18"/>
              </w:rPr>
            </w:pPr>
          </w:p>
        </w:tc>
        <w:tc>
          <w:tcPr>
            <w:tcW w:w="2409" w:type="dxa"/>
            <w:tcBorders>
              <w:left w:val="nil"/>
            </w:tcBorders>
          </w:tcPr>
          <w:p w14:paraId="26EC7EA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JJR Alajuela</w:t>
            </w:r>
          </w:p>
        </w:tc>
      </w:tr>
      <w:tr w:rsidR="00E01CA0" w:rsidRPr="00BB53C0" w14:paraId="5C36CDFA" w14:textId="77777777" w:rsidTr="00E01CA0">
        <w:trPr>
          <w:trHeight w:val="160"/>
          <w:jc w:val="center"/>
        </w:trPr>
        <w:tc>
          <w:tcPr>
            <w:tcW w:w="1242" w:type="dxa"/>
            <w:vMerge/>
            <w:tcBorders>
              <w:right w:val="nil"/>
            </w:tcBorders>
          </w:tcPr>
          <w:p w14:paraId="25976049" w14:textId="77777777" w:rsidR="00E01CA0" w:rsidRPr="00BB53C0" w:rsidRDefault="00E01CA0" w:rsidP="00F517CA">
            <w:pPr>
              <w:spacing w:after="0" w:line="360" w:lineRule="auto"/>
              <w:jc w:val="center"/>
              <w:rPr>
                <w:rFonts w:ascii="Arial" w:hAnsi="Arial" w:cs="Arial"/>
                <w:b/>
                <w:bCs/>
                <w:sz w:val="18"/>
                <w:szCs w:val="18"/>
              </w:rPr>
            </w:pPr>
          </w:p>
        </w:tc>
        <w:tc>
          <w:tcPr>
            <w:tcW w:w="5103" w:type="dxa"/>
            <w:gridSpan w:val="3"/>
            <w:tcBorders>
              <w:left w:val="nil"/>
            </w:tcBorders>
            <w:shd w:val="clear" w:color="auto" w:fill="6DADA5"/>
          </w:tcPr>
          <w:p w14:paraId="3B558E09" w14:textId="77777777" w:rsidR="00E01CA0" w:rsidRPr="00BB53C0" w:rsidRDefault="00E01CA0" w:rsidP="00F517CA">
            <w:pPr>
              <w:spacing w:after="0" w:line="360" w:lineRule="auto"/>
              <w:rPr>
                <w:rFonts w:ascii="Arial" w:hAnsi="Arial" w:cs="Arial"/>
                <w:sz w:val="18"/>
                <w:szCs w:val="18"/>
              </w:rPr>
            </w:pPr>
          </w:p>
        </w:tc>
      </w:tr>
      <w:tr w:rsidR="00E01CA0" w:rsidRPr="00BB53C0" w14:paraId="26C3B0D9" w14:textId="77777777" w:rsidTr="00E01CA0">
        <w:trPr>
          <w:trHeight w:val="160"/>
          <w:jc w:val="center"/>
        </w:trPr>
        <w:tc>
          <w:tcPr>
            <w:tcW w:w="1242" w:type="dxa"/>
            <w:vMerge/>
            <w:tcBorders>
              <w:right w:val="nil"/>
            </w:tcBorders>
          </w:tcPr>
          <w:p w14:paraId="3D88E070"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471702C0"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Goicoechea</w:t>
            </w:r>
          </w:p>
        </w:tc>
        <w:tc>
          <w:tcPr>
            <w:tcW w:w="2409" w:type="dxa"/>
            <w:vMerge w:val="restart"/>
            <w:tcBorders>
              <w:left w:val="nil"/>
            </w:tcBorders>
          </w:tcPr>
          <w:p w14:paraId="58D1665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 xml:space="preserve">Pococí </w:t>
            </w:r>
          </w:p>
          <w:p w14:paraId="744F718A"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0F966288" w14:textId="77777777" w:rsidTr="00E01CA0">
        <w:trPr>
          <w:trHeight w:val="322"/>
          <w:jc w:val="center"/>
        </w:trPr>
        <w:tc>
          <w:tcPr>
            <w:tcW w:w="1242" w:type="dxa"/>
            <w:vMerge/>
            <w:tcBorders>
              <w:right w:val="nil"/>
            </w:tcBorders>
          </w:tcPr>
          <w:p w14:paraId="3C643618"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val="restart"/>
            <w:tcBorders>
              <w:left w:val="nil"/>
              <w:right w:val="nil"/>
            </w:tcBorders>
          </w:tcPr>
          <w:p w14:paraId="6B7C1893"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Heredia</w:t>
            </w:r>
          </w:p>
        </w:tc>
        <w:tc>
          <w:tcPr>
            <w:tcW w:w="2409" w:type="dxa"/>
            <w:vMerge/>
            <w:tcBorders>
              <w:left w:val="nil"/>
            </w:tcBorders>
          </w:tcPr>
          <w:p w14:paraId="12C7A1C9" w14:textId="77777777" w:rsidR="00E01CA0" w:rsidRPr="00BB53C0" w:rsidRDefault="00E01CA0" w:rsidP="00F517CA">
            <w:pPr>
              <w:spacing w:after="0" w:line="360" w:lineRule="auto"/>
              <w:jc w:val="center"/>
              <w:rPr>
                <w:rFonts w:ascii="Arial" w:hAnsi="Arial" w:cs="Arial"/>
                <w:sz w:val="18"/>
                <w:szCs w:val="18"/>
              </w:rPr>
            </w:pPr>
          </w:p>
        </w:tc>
      </w:tr>
      <w:tr w:rsidR="00E01CA0" w:rsidRPr="00BB53C0" w14:paraId="7EFCFE1A" w14:textId="77777777" w:rsidTr="00E01CA0">
        <w:trPr>
          <w:trHeight w:val="322"/>
          <w:jc w:val="center"/>
        </w:trPr>
        <w:tc>
          <w:tcPr>
            <w:tcW w:w="1242" w:type="dxa"/>
            <w:vMerge/>
            <w:tcBorders>
              <w:right w:val="nil"/>
            </w:tcBorders>
          </w:tcPr>
          <w:p w14:paraId="174EABF6"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vMerge/>
            <w:tcBorders>
              <w:left w:val="nil"/>
              <w:right w:val="nil"/>
            </w:tcBorders>
          </w:tcPr>
          <w:p w14:paraId="4027CAD1" w14:textId="77777777" w:rsidR="00E01CA0" w:rsidRPr="00BB53C0" w:rsidRDefault="00E01CA0" w:rsidP="00F517CA">
            <w:pPr>
              <w:spacing w:after="0" w:line="360" w:lineRule="auto"/>
              <w:jc w:val="center"/>
              <w:rPr>
                <w:rFonts w:ascii="Arial" w:hAnsi="Arial" w:cs="Arial"/>
                <w:sz w:val="18"/>
                <w:szCs w:val="18"/>
              </w:rPr>
            </w:pPr>
          </w:p>
        </w:tc>
        <w:tc>
          <w:tcPr>
            <w:tcW w:w="2409" w:type="dxa"/>
            <w:vMerge w:val="restart"/>
            <w:tcBorders>
              <w:left w:val="nil"/>
            </w:tcBorders>
          </w:tcPr>
          <w:p w14:paraId="519C9495"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 xml:space="preserve">Pérez Zeledón </w:t>
            </w:r>
          </w:p>
        </w:tc>
      </w:tr>
      <w:tr w:rsidR="00E01CA0" w:rsidRPr="00BB53C0" w14:paraId="3EF8EC18" w14:textId="77777777" w:rsidTr="00E01CA0">
        <w:trPr>
          <w:trHeight w:val="276"/>
          <w:jc w:val="center"/>
        </w:trPr>
        <w:tc>
          <w:tcPr>
            <w:tcW w:w="1242" w:type="dxa"/>
            <w:vMerge/>
            <w:tcBorders>
              <w:right w:val="nil"/>
            </w:tcBorders>
          </w:tcPr>
          <w:p w14:paraId="4AAD33D1" w14:textId="77777777" w:rsidR="00E01CA0" w:rsidRPr="00BB53C0" w:rsidRDefault="00E01CA0" w:rsidP="00F517CA">
            <w:pPr>
              <w:spacing w:after="0" w:line="360" w:lineRule="auto"/>
              <w:jc w:val="center"/>
              <w:rPr>
                <w:rFonts w:ascii="Arial" w:hAnsi="Arial" w:cs="Arial"/>
                <w:b/>
                <w:bCs/>
                <w:sz w:val="18"/>
                <w:szCs w:val="18"/>
              </w:rPr>
            </w:pPr>
          </w:p>
        </w:tc>
        <w:tc>
          <w:tcPr>
            <w:tcW w:w="2694" w:type="dxa"/>
            <w:gridSpan w:val="2"/>
            <w:tcBorders>
              <w:left w:val="nil"/>
              <w:right w:val="nil"/>
            </w:tcBorders>
          </w:tcPr>
          <w:p w14:paraId="71A9A2E1" w14:textId="77777777" w:rsidR="00E01CA0" w:rsidRPr="00BB53C0" w:rsidRDefault="00E01CA0" w:rsidP="00F517CA">
            <w:pPr>
              <w:spacing w:after="0" w:line="360" w:lineRule="auto"/>
              <w:jc w:val="center"/>
              <w:rPr>
                <w:rFonts w:ascii="Arial" w:hAnsi="Arial" w:cs="Arial"/>
                <w:sz w:val="18"/>
                <w:szCs w:val="18"/>
              </w:rPr>
            </w:pPr>
            <w:r w:rsidRPr="00BB53C0">
              <w:rPr>
                <w:rFonts w:ascii="Arial" w:hAnsi="Arial" w:cs="Arial"/>
                <w:sz w:val="18"/>
                <w:szCs w:val="18"/>
              </w:rPr>
              <w:t>JPR Pavas</w:t>
            </w:r>
          </w:p>
        </w:tc>
        <w:tc>
          <w:tcPr>
            <w:tcW w:w="2409" w:type="dxa"/>
            <w:vMerge/>
            <w:tcBorders>
              <w:left w:val="nil"/>
            </w:tcBorders>
          </w:tcPr>
          <w:p w14:paraId="13DA764C" w14:textId="77777777" w:rsidR="00E01CA0" w:rsidRPr="00BB53C0" w:rsidRDefault="00E01CA0" w:rsidP="00F517CA">
            <w:pPr>
              <w:spacing w:after="0" w:line="360" w:lineRule="auto"/>
              <w:jc w:val="center"/>
              <w:rPr>
                <w:rFonts w:ascii="Arial" w:hAnsi="Arial" w:cs="Arial"/>
                <w:sz w:val="18"/>
                <w:szCs w:val="18"/>
              </w:rPr>
            </w:pPr>
          </w:p>
        </w:tc>
      </w:tr>
    </w:tbl>
    <w:p w14:paraId="6E862E2E" w14:textId="77777777" w:rsidR="00E01CA0" w:rsidRPr="00BB53C0" w:rsidRDefault="00E01CA0" w:rsidP="00F517CA">
      <w:pPr>
        <w:spacing w:after="0" w:line="360" w:lineRule="auto"/>
        <w:jc w:val="center"/>
        <w:rPr>
          <w:rFonts w:ascii="Arial" w:hAnsi="Arial" w:cs="Arial"/>
          <w:i/>
          <w:sz w:val="18"/>
          <w:szCs w:val="18"/>
          <w:vertAlign w:val="superscript"/>
        </w:rPr>
      </w:pPr>
      <w:r w:rsidRPr="00BB53C0">
        <w:rPr>
          <w:rFonts w:ascii="Arial" w:hAnsi="Arial" w:cs="Arial"/>
          <w:i/>
          <w:sz w:val="18"/>
          <w:szCs w:val="18"/>
        </w:rPr>
        <w:t xml:space="preserve">                                                                                                 </w:t>
      </w:r>
      <w:r w:rsidRPr="00BB53C0">
        <w:rPr>
          <w:rFonts w:ascii="Arial" w:hAnsi="Arial" w:cs="Arial"/>
          <w:i/>
          <w:sz w:val="18"/>
          <w:szCs w:val="18"/>
          <w:vertAlign w:val="superscript"/>
        </w:rPr>
        <w:t xml:space="preserve">Fuente: Elaboración propia. </w:t>
      </w:r>
    </w:p>
    <w:p w14:paraId="2CA69645" w14:textId="77777777" w:rsidR="00E01CA0" w:rsidRPr="00BB53C0" w:rsidRDefault="00E01CA0" w:rsidP="00F517CA">
      <w:pPr>
        <w:spacing w:after="0" w:line="360" w:lineRule="auto"/>
        <w:jc w:val="both"/>
        <w:rPr>
          <w:rFonts w:ascii="Arial" w:hAnsi="Arial" w:cs="Arial"/>
          <w:sz w:val="24"/>
          <w:szCs w:val="24"/>
        </w:rPr>
      </w:pPr>
    </w:p>
    <w:p w14:paraId="0DDF9CC7" w14:textId="7F5A58D0" w:rsidR="00E01CA0" w:rsidRPr="00BB53C0" w:rsidRDefault="00E01CA0" w:rsidP="008D6AC5">
      <w:pPr>
        <w:pStyle w:val="Prrafodelista"/>
        <w:spacing w:after="0" w:line="360" w:lineRule="auto"/>
        <w:ind w:left="1080"/>
        <w:jc w:val="both"/>
        <w:rPr>
          <w:rFonts w:ascii="Arial" w:hAnsi="Arial" w:cs="Arial"/>
          <w:b/>
          <w:sz w:val="24"/>
          <w:szCs w:val="24"/>
        </w:rPr>
      </w:pPr>
      <w:r w:rsidRPr="00BB53C0">
        <w:rPr>
          <w:rFonts w:ascii="Arial" w:hAnsi="Arial" w:cs="Arial"/>
          <w:b/>
          <w:sz w:val="24"/>
          <w:szCs w:val="24"/>
        </w:rPr>
        <w:t xml:space="preserve">Asuntos tramitados por los Procedimientos de Justicia Restaurativa. </w:t>
      </w:r>
    </w:p>
    <w:p w14:paraId="568E2B40" w14:textId="77777777" w:rsidR="00E01CA0" w:rsidRPr="00BB53C0" w:rsidRDefault="00E01CA0" w:rsidP="00F517CA">
      <w:pPr>
        <w:spacing w:after="0" w:line="360" w:lineRule="auto"/>
        <w:jc w:val="both"/>
        <w:rPr>
          <w:rFonts w:ascii="Arial" w:hAnsi="Arial" w:cs="Arial"/>
          <w:sz w:val="24"/>
          <w:szCs w:val="24"/>
        </w:rPr>
      </w:pPr>
    </w:p>
    <w:p w14:paraId="271E0F7E" w14:textId="77777777" w:rsidR="00E01CA0" w:rsidRPr="00BB53C0" w:rsidRDefault="00E01CA0" w:rsidP="00F517CA">
      <w:pPr>
        <w:spacing w:line="360" w:lineRule="auto"/>
        <w:jc w:val="both"/>
        <w:rPr>
          <w:rFonts w:ascii="Arial" w:hAnsi="Arial" w:cs="Arial"/>
          <w:sz w:val="24"/>
          <w:szCs w:val="24"/>
        </w:rPr>
      </w:pPr>
      <w:r w:rsidRPr="00BB53C0">
        <w:rPr>
          <w:rFonts w:ascii="Arial" w:hAnsi="Arial" w:cs="Arial"/>
          <w:sz w:val="24"/>
          <w:szCs w:val="24"/>
        </w:rPr>
        <w:t xml:space="preserve">Es indispensable para lograr la finalidad restaurativa que contempla la Ley 9582, que exista una cercanía entre el evento que se investiga, el abordaje del equipo interdisciplinario y la resolución judicial, así mismo cumplir con el plazo de 1 mes desde el ingreso del asunto a la Oficina de Justicia Restaurativa y la celebración de la Reunión Restaurativa y de 10 días en el caso de asuntos de flagrancia, como se contempla en el numeral 22 de dicha ley. Por ello es importante que los servicios de Justicia Restaurativa se continúen brindando de manera ininterrumpida, promoviendo el uso de la virtualidad cuando así se requiera.  </w:t>
      </w:r>
    </w:p>
    <w:p w14:paraId="47451510" w14:textId="0334E140" w:rsidR="00E01CA0" w:rsidRPr="00BB53C0" w:rsidRDefault="00E01CA0" w:rsidP="00F517CA">
      <w:pPr>
        <w:spacing w:line="360" w:lineRule="auto"/>
        <w:jc w:val="both"/>
        <w:rPr>
          <w:rFonts w:ascii="Arial" w:hAnsi="Arial" w:cs="Arial"/>
          <w:sz w:val="24"/>
          <w:szCs w:val="24"/>
        </w:rPr>
      </w:pPr>
      <w:r w:rsidRPr="00BB53C0">
        <w:rPr>
          <w:rFonts w:ascii="Arial" w:hAnsi="Arial" w:cs="Arial"/>
          <w:sz w:val="24"/>
          <w:szCs w:val="24"/>
        </w:rPr>
        <w:t xml:space="preserve">Un trabajo conjunto de la Dirección de Justicia Restaurativa, el Ministerio Público, Defensa Pública y Departamento de Trabajo Social y Psicología, permitió a los equipos interdisciplinarios organizarse conforme la alerta en que se encuentra el respetivo Circuito Judicial, combinando las modalidades de trabajo presencial y teletrabajo, con tendencia a la utilización de la virtualidad.  Teniendo los siguientes resultados en Justicia Penal Restaurativa del </w:t>
      </w:r>
      <w:r w:rsidR="005F7288" w:rsidRPr="00BB53C0">
        <w:rPr>
          <w:rFonts w:ascii="Arial" w:hAnsi="Arial" w:cs="Arial"/>
          <w:sz w:val="24"/>
          <w:szCs w:val="24"/>
        </w:rPr>
        <w:t>mes</w:t>
      </w:r>
      <w:r w:rsidRPr="00BB53C0">
        <w:rPr>
          <w:rFonts w:ascii="Arial" w:hAnsi="Arial" w:cs="Arial"/>
          <w:sz w:val="24"/>
          <w:szCs w:val="24"/>
        </w:rPr>
        <w:t xml:space="preserve"> de enero a octubre 2020:</w:t>
      </w:r>
    </w:p>
    <w:p w14:paraId="4045DACF" w14:textId="77777777" w:rsidR="00E01CA0" w:rsidRPr="00BB53C0" w:rsidRDefault="00E01CA0" w:rsidP="00F517CA">
      <w:pPr>
        <w:spacing w:line="360" w:lineRule="auto"/>
        <w:jc w:val="both"/>
        <w:rPr>
          <w:rFonts w:ascii="Arial" w:hAnsi="Arial" w:cs="Arial"/>
          <w:sz w:val="24"/>
          <w:szCs w:val="24"/>
        </w:rPr>
      </w:pPr>
    </w:p>
    <w:p w14:paraId="52E8026D" w14:textId="77777777" w:rsidR="00E01CA0" w:rsidRPr="00BB53C0" w:rsidRDefault="00E01CA0" w:rsidP="00F517CA">
      <w:pPr>
        <w:spacing w:line="360" w:lineRule="auto"/>
        <w:jc w:val="center"/>
        <w:rPr>
          <w:rFonts w:ascii="Arial" w:hAnsi="Arial" w:cs="Arial"/>
          <w:i/>
          <w:color w:val="4F81BD" w:themeColor="accent1"/>
        </w:rPr>
      </w:pPr>
      <w:r w:rsidRPr="00BB53C0">
        <w:rPr>
          <w:rFonts w:ascii="Arial" w:hAnsi="Arial" w:cs="Arial"/>
          <w:i/>
          <w:color w:val="4F81BD" w:themeColor="accent1"/>
        </w:rPr>
        <w:t>Tabla 2. Estadística Justicia Penal Restaurativa. Enero a octubre 2020.</w:t>
      </w:r>
    </w:p>
    <w:tbl>
      <w:tblPr>
        <w:tblW w:w="6104" w:type="dxa"/>
        <w:jc w:val="center"/>
        <w:tblCellMar>
          <w:left w:w="70" w:type="dxa"/>
          <w:right w:w="70" w:type="dxa"/>
        </w:tblCellMar>
        <w:tblLook w:val="04A0" w:firstRow="1" w:lastRow="0" w:firstColumn="1" w:lastColumn="0" w:noHBand="0" w:noVBand="1"/>
      </w:tblPr>
      <w:tblGrid>
        <w:gridCol w:w="4544"/>
        <w:gridCol w:w="1560"/>
      </w:tblGrid>
      <w:tr w:rsidR="00E01CA0" w:rsidRPr="00BB53C0" w14:paraId="42224942" w14:textId="77777777" w:rsidTr="00E01CA0">
        <w:trPr>
          <w:trHeight w:val="708"/>
          <w:jc w:val="center"/>
        </w:trPr>
        <w:tc>
          <w:tcPr>
            <w:tcW w:w="6103" w:type="dxa"/>
            <w:gridSpan w:val="2"/>
            <w:tcBorders>
              <w:top w:val="single" w:sz="4" w:space="0" w:color="000000"/>
              <w:left w:val="single" w:sz="4" w:space="0" w:color="000000"/>
              <w:bottom w:val="single" w:sz="4" w:space="0" w:color="000000"/>
              <w:right w:val="single" w:sz="4" w:space="0" w:color="000000"/>
            </w:tcBorders>
            <w:shd w:val="clear" w:color="000000" w:fill="1F4E78"/>
            <w:vAlign w:val="bottom"/>
          </w:tcPr>
          <w:p w14:paraId="29B1F786" w14:textId="77777777" w:rsidR="00E01CA0" w:rsidRPr="00BB53C0" w:rsidRDefault="00E01CA0" w:rsidP="00F517CA">
            <w:pPr>
              <w:spacing w:after="0" w:line="360" w:lineRule="auto"/>
              <w:jc w:val="center"/>
              <w:rPr>
                <w:rFonts w:ascii="Arial" w:eastAsia="Times New Roman" w:hAnsi="Arial" w:cs="Arial"/>
                <w:b/>
                <w:bCs/>
                <w:color w:val="FFFFFF" w:themeColor="background1"/>
                <w:sz w:val="18"/>
                <w:szCs w:val="18"/>
              </w:rPr>
            </w:pPr>
            <w:r w:rsidRPr="00BB53C0">
              <w:rPr>
                <w:rFonts w:ascii="Arial" w:eastAsia="Times New Roman" w:hAnsi="Arial" w:cs="Arial"/>
                <w:b/>
                <w:bCs/>
                <w:color w:val="FFFFFF" w:themeColor="background1"/>
                <w:sz w:val="18"/>
                <w:szCs w:val="18"/>
              </w:rPr>
              <w:t xml:space="preserve">Estadísticas Justicia Penal Restaurativa </w:t>
            </w:r>
          </w:p>
          <w:p w14:paraId="2B71A70C" w14:textId="77777777" w:rsidR="00E01CA0" w:rsidRPr="00BB53C0" w:rsidRDefault="00E01CA0" w:rsidP="00F517CA">
            <w:pPr>
              <w:spacing w:after="0" w:line="360" w:lineRule="auto"/>
              <w:jc w:val="center"/>
              <w:rPr>
                <w:rFonts w:ascii="Arial" w:eastAsia="Times New Roman" w:hAnsi="Arial" w:cs="Arial"/>
                <w:b/>
                <w:bCs/>
                <w:color w:val="FFFFFF" w:themeColor="background1"/>
                <w:sz w:val="18"/>
                <w:szCs w:val="18"/>
              </w:rPr>
            </w:pPr>
            <w:r w:rsidRPr="00BB53C0">
              <w:rPr>
                <w:rFonts w:ascii="Arial" w:eastAsia="Times New Roman" w:hAnsi="Arial" w:cs="Arial"/>
                <w:b/>
                <w:bCs/>
                <w:color w:val="FFFFFF" w:themeColor="background1"/>
                <w:sz w:val="18"/>
                <w:szCs w:val="18"/>
              </w:rPr>
              <w:t>Enero-Octubre 2020</w:t>
            </w:r>
          </w:p>
        </w:tc>
      </w:tr>
      <w:tr w:rsidR="00E01CA0" w:rsidRPr="00BB53C0" w14:paraId="63B8741A"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BDD7EE"/>
            <w:vAlign w:val="bottom"/>
          </w:tcPr>
          <w:p w14:paraId="386130E9" w14:textId="77777777" w:rsidR="00E01CA0" w:rsidRPr="00BB53C0" w:rsidRDefault="00E01CA0" w:rsidP="00F517CA">
            <w:pPr>
              <w:spacing w:after="0" w:line="360" w:lineRule="auto"/>
              <w:rPr>
                <w:rFonts w:ascii="Arial" w:eastAsia="Times New Roman" w:hAnsi="Arial" w:cs="Arial"/>
                <w:b/>
                <w:bCs/>
                <w:color w:val="000000"/>
                <w:sz w:val="18"/>
                <w:szCs w:val="18"/>
              </w:rPr>
            </w:pPr>
            <w:r w:rsidRPr="00BB53C0">
              <w:rPr>
                <w:rFonts w:ascii="Arial" w:eastAsia="Times New Roman" w:hAnsi="Arial" w:cs="Arial"/>
                <w:b/>
                <w:bCs/>
                <w:color w:val="000000"/>
                <w:sz w:val="18"/>
                <w:szCs w:val="18"/>
              </w:rPr>
              <w:t>Reuniones Restaurativas señaladas</w:t>
            </w:r>
          </w:p>
        </w:tc>
        <w:tc>
          <w:tcPr>
            <w:tcW w:w="1560" w:type="dxa"/>
            <w:tcBorders>
              <w:top w:val="single" w:sz="4" w:space="0" w:color="000000"/>
              <w:bottom w:val="single" w:sz="4" w:space="0" w:color="000000"/>
              <w:right w:val="single" w:sz="4" w:space="0" w:color="000000"/>
            </w:tcBorders>
            <w:shd w:val="clear" w:color="000000" w:fill="BDD7EE"/>
            <w:vAlign w:val="bottom"/>
          </w:tcPr>
          <w:p w14:paraId="039E1C83" w14:textId="77777777" w:rsidR="00E01CA0" w:rsidRPr="00BB53C0" w:rsidRDefault="00E01CA0" w:rsidP="00F517CA">
            <w:pPr>
              <w:spacing w:after="0" w:line="360" w:lineRule="auto"/>
              <w:jc w:val="center"/>
              <w:rPr>
                <w:rFonts w:ascii="Arial" w:eastAsia="Times New Roman" w:hAnsi="Arial" w:cs="Arial"/>
                <w:b/>
                <w:bCs/>
                <w:color w:val="000000"/>
                <w:sz w:val="18"/>
                <w:szCs w:val="18"/>
              </w:rPr>
            </w:pPr>
            <w:r w:rsidRPr="00BB53C0">
              <w:rPr>
                <w:rFonts w:ascii="Arial" w:eastAsia="Times New Roman" w:hAnsi="Arial" w:cs="Arial"/>
                <w:b/>
                <w:bCs/>
                <w:color w:val="000000"/>
                <w:sz w:val="18"/>
                <w:szCs w:val="18"/>
              </w:rPr>
              <w:t>1331</w:t>
            </w:r>
          </w:p>
        </w:tc>
      </w:tr>
      <w:tr w:rsidR="00E01CA0" w:rsidRPr="00BB53C0" w14:paraId="600DD5DA"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364AF139" w14:textId="77777777" w:rsidR="00E01CA0" w:rsidRPr="00BB53C0" w:rsidRDefault="00E01CA0" w:rsidP="00F517CA">
            <w:pPr>
              <w:spacing w:after="0" w:line="360" w:lineRule="auto"/>
              <w:ind w:firstLine="181"/>
              <w:rPr>
                <w:rFonts w:ascii="Arial" w:eastAsia="Times New Roman" w:hAnsi="Arial" w:cs="Arial"/>
                <w:b/>
                <w:bCs/>
                <w:color w:val="000000"/>
                <w:sz w:val="18"/>
                <w:szCs w:val="18"/>
              </w:rPr>
            </w:pPr>
            <w:r w:rsidRPr="00BB53C0">
              <w:rPr>
                <w:rFonts w:ascii="Arial" w:eastAsia="Times New Roman" w:hAnsi="Arial" w:cs="Arial"/>
                <w:b/>
                <w:bCs/>
                <w:color w:val="000000"/>
                <w:sz w:val="18"/>
                <w:szCs w:val="18"/>
              </w:rPr>
              <w:t>Realizadas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7414E122"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1065</w:t>
            </w:r>
          </w:p>
        </w:tc>
      </w:tr>
      <w:tr w:rsidR="00E01CA0" w:rsidRPr="00BB53C0" w14:paraId="2CCB0214"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0DD1F9D2" w14:textId="77777777" w:rsidR="00E01CA0" w:rsidRPr="00BB53C0" w:rsidRDefault="00E01CA0" w:rsidP="00F517CA">
            <w:pPr>
              <w:spacing w:after="0" w:line="360" w:lineRule="auto"/>
              <w:ind w:firstLine="180"/>
              <w:rPr>
                <w:rFonts w:ascii="Arial" w:eastAsia="Times New Roman" w:hAnsi="Arial" w:cs="Arial"/>
                <w:color w:val="000000"/>
                <w:sz w:val="18"/>
                <w:szCs w:val="18"/>
              </w:rPr>
            </w:pPr>
            <w:r w:rsidRPr="00BB53C0">
              <w:rPr>
                <w:rFonts w:ascii="Arial" w:eastAsia="Times New Roman" w:hAnsi="Arial" w:cs="Arial"/>
                <w:color w:val="000000"/>
                <w:sz w:val="18"/>
                <w:szCs w:val="18"/>
              </w:rPr>
              <w:t>Con acuerdo</w:t>
            </w:r>
          </w:p>
        </w:tc>
        <w:tc>
          <w:tcPr>
            <w:tcW w:w="1560" w:type="dxa"/>
            <w:tcBorders>
              <w:top w:val="single" w:sz="4" w:space="0" w:color="000000"/>
              <w:bottom w:val="single" w:sz="4" w:space="0" w:color="000000"/>
              <w:right w:val="single" w:sz="4" w:space="0" w:color="000000"/>
            </w:tcBorders>
            <w:shd w:val="clear" w:color="000000" w:fill="FFFFFF"/>
            <w:vAlign w:val="bottom"/>
          </w:tcPr>
          <w:p w14:paraId="4B6996CD" w14:textId="77777777" w:rsidR="00E01CA0" w:rsidRPr="00BB53C0" w:rsidRDefault="00E01CA0" w:rsidP="00F517CA">
            <w:pPr>
              <w:spacing w:after="0" w:line="360" w:lineRule="auto"/>
              <w:jc w:val="center"/>
              <w:rPr>
                <w:rFonts w:ascii="Arial" w:eastAsia="Times New Roman" w:hAnsi="Arial" w:cs="Arial"/>
                <w:sz w:val="18"/>
                <w:szCs w:val="18"/>
              </w:rPr>
            </w:pPr>
            <w:r w:rsidRPr="00BB53C0">
              <w:rPr>
                <w:rFonts w:ascii="Arial" w:eastAsia="Times New Roman" w:hAnsi="Arial" w:cs="Arial"/>
                <w:sz w:val="18"/>
                <w:szCs w:val="18"/>
              </w:rPr>
              <w:t>1050</w:t>
            </w:r>
          </w:p>
        </w:tc>
      </w:tr>
      <w:tr w:rsidR="00E01CA0" w:rsidRPr="00BB53C0" w14:paraId="1A2F86A4"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031B774F" w14:textId="77777777" w:rsidR="00E01CA0" w:rsidRPr="00BB53C0" w:rsidRDefault="00E01CA0" w:rsidP="00F517CA">
            <w:pPr>
              <w:spacing w:after="0" w:line="360" w:lineRule="auto"/>
              <w:ind w:firstLine="180"/>
              <w:rPr>
                <w:rFonts w:ascii="Arial" w:eastAsia="Times New Roman" w:hAnsi="Arial" w:cs="Arial"/>
                <w:color w:val="000000"/>
                <w:sz w:val="18"/>
                <w:szCs w:val="18"/>
              </w:rPr>
            </w:pPr>
            <w:r w:rsidRPr="00BB53C0">
              <w:rPr>
                <w:rFonts w:ascii="Arial" w:eastAsia="Times New Roman" w:hAnsi="Arial" w:cs="Arial"/>
                <w:color w:val="000000"/>
                <w:sz w:val="18"/>
                <w:szCs w:val="18"/>
              </w:rPr>
              <w:t>No hubo acuerdo</w:t>
            </w:r>
          </w:p>
        </w:tc>
        <w:tc>
          <w:tcPr>
            <w:tcW w:w="1560" w:type="dxa"/>
            <w:tcBorders>
              <w:top w:val="single" w:sz="4" w:space="0" w:color="000000"/>
              <w:bottom w:val="single" w:sz="4" w:space="0" w:color="000000"/>
              <w:right w:val="single" w:sz="4" w:space="0" w:color="000000"/>
            </w:tcBorders>
            <w:shd w:val="clear" w:color="000000" w:fill="FFFFFF"/>
            <w:vAlign w:val="bottom"/>
          </w:tcPr>
          <w:p w14:paraId="4FBCD476"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26</w:t>
            </w:r>
          </w:p>
        </w:tc>
      </w:tr>
      <w:tr w:rsidR="00E01CA0" w:rsidRPr="00BB53C0" w14:paraId="2782FF26"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2C4D0EE8" w14:textId="77777777" w:rsidR="00E01CA0" w:rsidRPr="00BB53C0" w:rsidRDefault="00E01CA0" w:rsidP="00F517CA">
            <w:pPr>
              <w:spacing w:after="0" w:line="360" w:lineRule="auto"/>
              <w:ind w:firstLine="180"/>
              <w:rPr>
                <w:rFonts w:ascii="Arial" w:eastAsia="Times New Roman" w:hAnsi="Arial" w:cs="Arial"/>
                <w:bCs/>
                <w:color w:val="000000"/>
                <w:sz w:val="18"/>
                <w:szCs w:val="18"/>
              </w:rPr>
            </w:pPr>
            <w:r w:rsidRPr="00BB53C0">
              <w:rPr>
                <w:rFonts w:ascii="Arial" w:eastAsia="Times New Roman" w:hAnsi="Arial" w:cs="Arial"/>
                <w:bCs/>
                <w:color w:val="000000"/>
                <w:sz w:val="18"/>
                <w:szCs w:val="18"/>
              </w:rPr>
              <w:t>No realizadas</w:t>
            </w:r>
          </w:p>
        </w:tc>
        <w:tc>
          <w:tcPr>
            <w:tcW w:w="1560" w:type="dxa"/>
            <w:tcBorders>
              <w:top w:val="single" w:sz="4" w:space="0" w:color="000000"/>
              <w:bottom w:val="single" w:sz="4" w:space="0" w:color="000000"/>
              <w:right w:val="single" w:sz="4" w:space="0" w:color="000000"/>
            </w:tcBorders>
            <w:shd w:val="clear" w:color="000000" w:fill="FFFFFF"/>
            <w:vAlign w:val="bottom"/>
          </w:tcPr>
          <w:p w14:paraId="23419F24"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268</w:t>
            </w:r>
          </w:p>
        </w:tc>
      </w:tr>
      <w:tr w:rsidR="00E01CA0" w:rsidRPr="00BB53C0" w14:paraId="13E545B1"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BDD7EE"/>
            <w:vAlign w:val="bottom"/>
          </w:tcPr>
          <w:p w14:paraId="67830AD3" w14:textId="77777777" w:rsidR="00E01CA0" w:rsidRPr="00BB53C0" w:rsidRDefault="00E01CA0" w:rsidP="00F517CA">
            <w:pPr>
              <w:spacing w:after="0" w:line="360" w:lineRule="auto"/>
              <w:ind w:firstLine="181"/>
              <w:rPr>
                <w:rFonts w:ascii="Arial" w:eastAsia="Times New Roman" w:hAnsi="Arial" w:cs="Arial"/>
                <w:b/>
                <w:bCs/>
                <w:color w:val="000000"/>
                <w:sz w:val="18"/>
                <w:szCs w:val="18"/>
              </w:rPr>
            </w:pPr>
            <w:r w:rsidRPr="00BB53C0">
              <w:rPr>
                <w:rFonts w:ascii="Arial" w:eastAsia="Times New Roman" w:hAnsi="Arial" w:cs="Arial"/>
                <w:b/>
                <w:bCs/>
                <w:color w:val="000000"/>
                <w:sz w:val="18"/>
                <w:szCs w:val="18"/>
              </w:rPr>
              <w:t>Aud. Verificación Señaladas</w:t>
            </w:r>
          </w:p>
        </w:tc>
        <w:tc>
          <w:tcPr>
            <w:tcW w:w="1560" w:type="dxa"/>
            <w:tcBorders>
              <w:top w:val="single" w:sz="4" w:space="0" w:color="000000"/>
              <w:bottom w:val="single" w:sz="4" w:space="0" w:color="000000"/>
              <w:right w:val="single" w:sz="4" w:space="0" w:color="000000"/>
            </w:tcBorders>
            <w:shd w:val="clear" w:color="000000" w:fill="BDD7EE"/>
            <w:vAlign w:val="bottom"/>
          </w:tcPr>
          <w:p w14:paraId="29433F6F" w14:textId="77777777" w:rsidR="00E01CA0" w:rsidRPr="00BB53C0" w:rsidRDefault="00E01CA0" w:rsidP="00F517CA">
            <w:pPr>
              <w:spacing w:after="0" w:line="360" w:lineRule="auto"/>
              <w:jc w:val="center"/>
              <w:rPr>
                <w:rFonts w:ascii="Arial" w:eastAsia="Times New Roman" w:hAnsi="Arial" w:cs="Arial"/>
                <w:b/>
                <w:bCs/>
                <w:color w:val="000000"/>
                <w:sz w:val="18"/>
                <w:szCs w:val="18"/>
              </w:rPr>
            </w:pPr>
            <w:r w:rsidRPr="00BB53C0">
              <w:rPr>
                <w:rFonts w:ascii="Arial" w:eastAsia="Times New Roman" w:hAnsi="Arial" w:cs="Arial"/>
                <w:b/>
                <w:bCs/>
                <w:color w:val="000000"/>
                <w:sz w:val="18"/>
                <w:szCs w:val="18"/>
              </w:rPr>
              <w:t>631</w:t>
            </w:r>
          </w:p>
        </w:tc>
      </w:tr>
      <w:tr w:rsidR="00E01CA0" w:rsidRPr="00BB53C0" w14:paraId="7244627A"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5DAF4BE6" w14:textId="77777777" w:rsidR="00E01CA0" w:rsidRPr="00BB53C0" w:rsidRDefault="00E01CA0" w:rsidP="00F517CA">
            <w:pPr>
              <w:spacing w:after="0" w:line="360" w:lineRule="auto"/>
              <w:ind w:firstLine="180"/>
              <w:rPr>
                <w:rFonts w:ascii="Arial" w:eastAsia="Times New Roman" w:hAnsi="Arial" w:cs="Arial"/>
                <w:color w:val="000000"/>
                <w:sz w:val="18"/>
                <w:szCs w:val="18"/>
              </w:rPr>
            </w:pPr>
            <w:r w:rsidRPr="00BB53C0">
              <w:rPr>
                <w:rFonts w:ascii="Arial" w:eastAsia="Times New Roman" w:hAnsi="Arial" w:cs="Arial"/>
                <w:color w:val="000000"/>
                <w:sz w:val="18"/>
                <w:szCs w:val="18"/>
              </w:rPr>
              <w:t>Se mantiene medida alterna</w:t>
            </w:r>
          </w:p>
        </w:tc>
        <w:tc>
          <w:tcPr>
            <w:tcW w:w="1560" w:type="dxa"/>
            <w:tcBorders>
              <w:top w:val="single" w:sz="4" w:space="0" w:color="000000"/>
              <w:bottom w:val="single" w:sz="4" w:space="0" w:color="000000"/>
              <w:right w:val="single" w:sz="4" w:space="0" w:color="000000"/>
            </w:tcBorders>
            <w:shd w:val="clear" w:color="000000" w:fill="FFFFFF"/>
            <w:vAlign w:val="bottom"/>
          </w:tcPr>
          <w:p w14:paraId="28FFA407"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352</w:t>
            </w:r>
          </w:p>
        </w:tc>
      </w:tr>
      <w:tr w:rsidR="00E01CA0" w:rsidRPr="00BB53C0" w14:paraId="6BD11EB3"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4482DC87" w14:textId="77777777" w:rsidR="00E01CA0" w:rsidRPr="00BB53C0" w:rsidRDefault="00E01CA0" w:rsidP="00F517CA">
            <w:pPr>
              <w:spacing w:after="0" w:line="360" w:lineRule="auto"/>
              <w:ind w:firstLine="180"/>
              <w:rPr>
                <w:rFonts w:ascii="Arial" w:eastAsia="Times New Roman" w:hAnsi="Arial" w:cs="Arial"/>
                <w:color w:val="000000"/>
                <w:sz w:val="18"/>
                <w:szCs w:val="18"/>
              </w:rPr>
            </w:pPr>
            <w:r w:rsidRPr="00BB53C0">
              <w:rPr>
                <w:rFonts w:ascii="Arial" w:eastAsia="Times New Roman" w:hAnsi="Arial" w:cs="Arial"/>
                <w:color w:val="000000"/>
                <w:sz w:val="18"/>
                <w:szCs w:val="18"/>
              </w:rPr>
              <w:t>Se modifica medida alterna</w:t>
            </w:r>
          </w:p>
        </w:tc>
        <w:tc>
          <w:tcPr>
            <w:tcW w:w="1560" w:type="dxa"/>
            <w:tcBorders>
              <w:top w:val="single" w:sz="4" w:space="0" w:color="000000"/>
              <w:bottom w:val="single" w:sz="4" w:space="0" w:color="000000"/>
              <w:right w:val="single" w:sz="4" w:space="0" w:color="000000"/>
            </w:tcBorders>
            <w:shd w:val="clear" w:color="000000" w:fill="FFFFFF"/>
            <w:vAlign w:val="bottom"/>
          </w:tcPr>
          <w:p w14:paraId="6B530AC5"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301</w:t>
            </w:r>
          </w:p>
        </w:tc>
      </w:tr>
      <w:tr w:rsidR="00E01CA0" w:rsidRPr="00BB53C0" w14:paraId="2931B591"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5093B209" w14:textId="77777777" w:rsidR="00E01CA0" w:rsidRPr="00BB53C0" w:rsidRDefault="00E01CA0" w:rsidP="00F517CA">
            <w:pPr>
              <w:spacing w:after="0" w:line="360" w:lineRule="auto"/>
              <w:ind w:firstLine="180"/>
              <w:rPr>
                <w:rFonts w:ascii="Arial" w:eastAsia="Times New Roman" w:hAnsi="Arial" w:cs="Arial"/>
                <w:color w:val="000000"/>
                <w:sz w:val="18"/>
                <w:szCs w:val="18"/>
              </w:rPr>
            </w:pPr>
            <w:r w:rsidRPr="00BB53C0">
              <w:rPr>
                <w:rFonts w:ascii="Arial" w:eastAsia="Times New Roman" w:hAnsi="Arial" w:cs="Arial"/>
                <w:color w:val="000000"/>
                <w:sz w:val="18"/>
                <w:szCs w:val="18"/>
              </w:rPr>
              <w:t>Se revoca medida alterna</w:t>
            </w:r>
          </w:p>
        </w:tc>
        <w:tc>
          <w:tcPr>
            <w:tcW w:w="1560" w:type="dxa"/>
            <w:tcBorders>
              <w:top w:val="single" w:sz="4" w:space="0" w:color="000000"/>
              <w:bottom w:val="single" w:sz="4" w:space="0" w:color="000000"/>
              <w:right w:val="single" w:sz="4" w:space="0" w:color="000000"/>
            </w:tcBorders>
            <w:shd w:val="clear" w:color="000000" w:fill="FFFFFF"/>
            <w:vAlign w:val="bottom"/>
          </w:tcPr>
          <w:p w14:paraId="4D21EA98"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68</w:t>
            </w:r>
          </w:p>
        </w:tc>
      </w:tr>
      <w:tr w:rsidR="00E01CA0" w:rsidRPr="00BB53C0" w14:paraId="338784FA"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730F482D" w14:textId="77777777" w:rsidR="00E01CA0" w:rsidRPr="00BB53C0" w:rsidRDefault="00E01CA0" w:rsidP="00F517CA">
            <w:pPr>
              <w:spacing w:after="0" w:line="360" w:lineRule="auto"/>
              <w:rPr>
                <w:rFonts w:ascii="Arial" w:eastAsia="Times New Roman" w:hAnsi="Arial" w:cs="Arial"/>
                <w:color w:val="000000"/>
                <w:sz w:val="18"/>
                <w:szCs w:val="18"/>
              </w:rPr>
            </w:pPr>
            <w:r w:rsidRPr="00BB53C0">
              <w:rPr>
                <w:rFonts w:ascii="Arial" w:eastAsia="Times New Roman" w:hAnsi="Arial" w:cs="Arial"/>
                <w:color w:val="000000"/>
                <w:sz w:val="18"/>
                <w:szCs w:val="18"/>
              </w:rPr>
              <w:t>Se homologa indemnización seguro</w:t>
            </w:r>
          </w:p>
        </w:tc>
        <w:tc>
          <w:tcPr>
            <w:tcW w:w="1560" w:type="dxa"/>
            <w:tcBorders>
              <w:top w:val="single" w:sz="4" w:space="0" w:color="000000"/>
              <w:bottom w:val="single" w:sz="4" w:space="0" w:color="000000"/>
              <w:right w:val="single" w:sz="4" w:space="0" w:color="000000"/>
            </w:tcBorders>
            <w:shd w:val="clear" w:color="000000" w:fill="FFFFFF"/>
            <w:vAlign w:val="bottom"/>
          </w:tcPr>
          <w:p w14:paraId="2C50D1A6"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11</w:t>
            </w:r>
          </w:p>
        </w:tc>
      </w:tr>
      <w:tr w:rsidR="00E01CA0" w:rsidRPr="00BB53C0" w14:paraId="71F88AEF"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BDD7EE"/>
            <w:vAlign w:val="bottom"/>
          </w:tcPr>
          <w:p w14:paraId="71054315" w14:textId="77777777" w:rsidR="00E01CA0" w:rsidRPr="00BB53C0" w:rsidRDefault="00E01CA0" w:rsidP="00F517CA">
            <w:pPr>
              <w:spacing w:after="0" w:line="360" w:lineRule="auto"/>
              <w:ind w:firstLine="181"/>
              <w:rPr>
                <w:rFonts w:ascii="Arial" w:eastAsia="Times New Roman" w:hAnsi="Arial" w:cs="Arial"/>
                <w:b/>
                <w:bCs/>
                <w:color w:val="000000"/>
                <w:sz w:val="18"/>
                <w:szCs w:val="18"/>
              </w:rPr>
            </w:pPr>
            <w:r w:rsidRPr="00BB53C0">
              <w:rPr>
                <w:rFonts w:ascii="Arial" w:eastAsia="Times New Roman" w:hAnsi="Arial" w:cs="Arial"/>
                <w:b/>
                <w:bCs/>
                <w:color w:val="000000"/>
                <w:sz w:val="18"/>
                <w:szCs w:val="18"/>
              </w:rPr>
              <w:t>Red de apoyo</w:t>
            </w:r>
          </w:p>
        </w:tc>
        <w:tc>
          <w:tcPr>
            <w:tcW w:w="1560" w:type="dxa"/>
            <w:tcBorders>
              <w:top w:val="single" w:sz="4" w:space="0" w:color="000000"/>
              <w:bottom w:val="single" w:sz="4" w:space="0" w:color="000000"/>
              <w:right w:val="single" w:sz="4" w:space="0" w:color="000000"/>
            </w:tcBorders>
            <w:shd w:val="clear" w:color="000000" w:fill="BDD7EE"/>
            <w:vAlign w:val="bottom"/>
          </w:tcPr>
          <w:p w14:paraId="71EB7BC8" w14:textId="77777777" w:rsidR="00E01CA0" w:rsidRPr="00BB53C0" w:rsidRDefault="00E01CA0" w:rsidP="00F517CA">
            <w:pPr>
              <w:spacing w:after="0" w:line="360" w:lineRule="auto"/>
              <w:jc w:val="center"/>
              <w:rPr>
                <w:rFonts w:ascii="Arial" w:eastAsia="Times New Roman" w:hAnsi="Arial" w:cs="Arial"/>
                <w:color w:val="000000"/>
                <w:sz w:val="18"/>
                <w:szCs w:val="18"/>
              </w:rPr>
            </w:pPr>
          </w:p>
        </w:tc>
      </w:tr>
      <w:tr w:rsidR="00E01CA0" w:rsidRPr="00BB53C0" w14:paraId="72B8BE63"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66F6E696" w14:textId="77777777" w:rsidR="00E01CA0" w:rsidRPr="00BB53C0" w:rsidRDefault="00E01CA0" w:rsidP="00F517CA">
            <w:pPr>
              <w:spacing w:after="0" w:line="360" w:lineRule="auto"/>
              <w:rPr>
                <w:rFonts w:ascii="Arial" w:eastAsia="Times New Roman" w:hAnsi="Arial" w:cs="Arial"/>
                <w:color w:val="000000"/>
                <w:sz w:val="18"/>
                <w:szCs w:val="18"/>
              </w:rPr>
            </w:pPr>
            <w:r w:rsidRPr="00BB53C0">
              <w:rPr>
                <w:rFonts w:ascii="Arial" w:eastAsia="Times New Roman" w:hAnsi="Arial" w:cs="Arial"/>
                <w:color w:val="000000"/>
                <w:sz w:val="18"/>
                <w:szCs w:val="18"/>
              </w:rPr>
              <w:t xml:space="preserve">Coordinaciones interinstitucionales </w:t>
            </w:r>
          </w:p>
        </w:tc>
        <w:tc>
          <w:tcPr>
            <w:tcW w:w="1560" w:type="dxa"/>
            <w:tcBorders>
              <w:top w:val="single" w:sz="4" w:space="0" w:color="000000"/>
              <w:bottom w:val="single" w:sz="4" w:space="0" w:color="000000"/>
              <w:right w:val="single" w:sz="4" w:space="0" w:color="000000"/>
            </w:tcBorders>
            <w:shd w:val="clear" w:color="000000" w:fill="FFFFFF"/>
            <w:vAlign w:val="bottom"/>
          </w:tcPr>
          <w:p w14:paraId="28F8FAC2" w14:textId="77777777" w:rsidR="00E01CA0" w:rsidRPr="00BB53C0" w:rsidRDefault="00E01CA0" w:rsidP="00F517CA">
            <w:pPr>
              <w:spacing w:after="0" w:line="360" w:lineRule="auto"/>
              <w:jc w:val="center"/>
              <w:rPr>
                <w:rFonts w:ascii="Arial" w:eastAsia="Times New Roman" w:hAnsi="Arial" w:cs="Arial"/>
                <w:color w:val="000000"/>
                <w:sz w:val="18"/>
                <w:szCs w:val="18"/>
              </w:rPr>
            </w:pPr>
            <w:r w:rsidRPr="00BB53C0">
              <w:rPr>
                <w:rFonts w:ascii="Arial" w:eastAsia="Times New Roman" w:hAnsi="Arial" w:cs="Arial"/>
                <w:color w:val="000000"/>
                <w:sz w:val="18"/>
                <w:szCs w:val="18"/>
              </w:rPr>
              <w:t>3594</w:t>
            </w:r>
          </w:p>
        </w:tc>
      </w:tr>
      <w:tr w:rsidR="00E01CA0" w:rsidRPr="00BB53C0" w14:paraId="148A6B42"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346CDAF8" w14:textId="77777777" w:rsidR="00E01CA0" w:rsidRPr="00BB53C0" w:rsidRDefault="00E01CA0" w:rsidP="00F517CA">
            <w:pPr>
              <w:spacing w:after="0" w:line="360" w:lineRule="auto"/>
              <w:rPr>
                <w:rFonts w:ascii="Arial" w:eastAsia="Times New Roman" w:hAnsi="Arial" w:cs="Arial"/>
                <w:b/>
                <w:bCs/>
                <w:sz w:val="18"/>
                <w:szCs w:val="18"/>
              </w:rPr>
            </w:pPr>
            <w:r w:rsidRPr="00BB53C0">
              <w:rPr>
                <w:rFonts w:ascii="Arial" w:eastAsia="Times New Roman" w:hAnsi="Arial" w:cs="Arial"/>
                <w:b/>
                <w:bCs/>
                <w:sz w:val="18"/>
                <w:szCs w:val="18"/>
              </w:rPr>
              <w:t>Cantidad de instituciones que conforman la red</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4F193170" w14:textId="77777777" w:rsidR="00E01CA0" w:rsidRPr="00BB53C0" w:rsidRDefault="00E01CA0" w:rsidP="00F517CA">
            <w:pPr>
              <w:spacing w:after="0" w:line="360" w:lineRule="auto"/>
              <w:jc w:val="center"/>
              <w:rPr>
                <w:rFonts w:ascii="Arial" w:eastAsia="Times New Roman" w:hAnsi="Arial" w:cs="Arial"/>
                <w:sz w:val="18"/>
                <w:szCs w:val="18"/>
              </w:rPr>
            </w:pPr>
            <w:r w:rsidRPr="00BB53C0">
              <w:rPr>
                <w:rFonts w:ascii="Arial" w:eastAsia="Times New Roman" w:hAnsi="Arial" w:cs="Arial"/>
                <w:sz w:val="18"/>
                <w:szCs w:val="18"/>
              </w:rPr>
              <w:t>1289</w:t>
            </w:r>
          </w:p>
        </w:tc>
      </w:tr>
      <w:tr w:rsidR="00E01CA0" w:rsidRPr="00BB53C0" w14:paraId="684A05AD"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B8CCE4" w:themeFill="accent1" w:themeFillTint="66"/>
            <w:vAlign w:val="bottom"/>
          </w:tcPr>
          <w:p w14:paraId="1D418717" w14:textId="77777777" w:rsidR="00E01CA0" w:rsidRPr="00BB53C0" w:rsidRDefault="00E01CA0" w:rsidP="00F517CA">
            <w:pPr>
              <w:spacing w:after="0" w:line="360" w:lineRule="auto"/>
              <w:rPr>
                <w:rFonts w:ascii="Arial" w:eastAsia="Times New Roman" w:hAnsi="Arial" w:cs="Arial"/>
                <w:b/>
                <w:bCs/>
                <w:sz w:val="18"/>
                <w:szCs w:val="18"/>
              </w:rPr>
            </w:pPr>
            <w:r w:rsidRPr="00BB53C0">
              <w:rPr>
                <w:rFonts w:ascii="Arial" w:eastAsia="Times New Roman" w:hAnsi="Arial" w:cs="Arial"/>
                <w:b/>
                <w:bCs/>
                <w:sz w:val="18"/>
                <w:szCs w:val="18"/>
              </w:rPr>
              <w:t>Entrevistas (atenciones personas usuarias)</w:t>
            </w:r>
          </w:p>
        </w:tc>
        <w:tc>
          <w:tcPr>
            <w:tcW w:w="1560" w:type="dxa"/>
            <w:tcBorders>
              <w:top w:val="single" w:sz="4" w:space="0" w:color="000000"/>
              <w:bottom w:val="single" w:sz="4" w:space="0" w:color="000000"/>
              <w:right w:val="single" w:sz="4" w:space="0" w:color="000000"/>
            </w:tcBorders>
            <w:shd w:val="clear" w:color="auto" w:fill="B8CCE4" w:themeFill="accent1" w:themeFillTint="66"/>
            <w:vAlign w:val="bottom"/>
          </w:tcPr>
          <w:p w14:paraId="75E83519" w14:textId="77777777" w:rsidR="00E01CA0" w:rsidRPr="00BB53C0" w:rsidRDefault="00E01CA0" w:rsidP="00F517CA">
            <w:pPr>
              <w:spacing w:after="0" w:line="360" w:lineRule="auto"/>
              <w:jc w:val="center"/>
              <w:rPr>
                <w:rFonts w:ascii="Arial" w:eastAsia="Times New Roman" w:hAnsi="Arial" w:cs="Arial"/>
                <w:sz w:val="18"/>
                <w:szCs w:val="18"/>
              </w:rPr>
            </w:pPr>
          </w:p>
        </w:tc>
      </w:tr>
      <w:tr w:rsidR="00E01CA0" w:rsidRPr="00BB53C0" w14:paraId="33C03DAB"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7AC8B8F4" w14:textId="77777777" w:rsidR="00E01CA0" w:rsidRPr="00BB53C0" w:rsidRDefault="00E01CA0" w:rsidP="00F517CA">
            <w:pPr>
              <w:spacing w:after="0" w:line="360" w:lineRule="auto"/>
              <w:rPr>
                <w:rFonts w:ascii="Arial" w:eastAsia="Times New Roman" w:hAnsi="Arial" w:cs="Arial"/>
                <w:bCs/>
                <w:sz w:val="18"/>
                <w:szCs w:val="18"/>
              </w:rPr>
            </w:pPr>
            <w:r w:rsidRPr="00BB53C0">
              <w:rPr>
                <w:rFonts w:ascii="Arial" w:eastAsia="Times New Roman" w:hAnsi="Arial" w:cs="Arial"/>
                <w:bCs/>
                <w:sz w:val="18"/>
                <w:szCs w:val="18"/>
              </w:rPr>
              <w:t>Legales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016C5331" w14:textId="77777777" w:rsidR="00E01CA0" w:rsidRPr="00BB53C0" w:rsidRDefault="00E01CA0" w:rsidP="00F517CA">
            <w:pPr>
              <w:spacing w:after="0" w:line="360" w:lineRule="auto"/>
              <w:jc w:val="center"/>
              <w:rPr>
                <w:rFonts w:ascii="Arial" w:eastAsia="Times New Roman" w:hAnsi="Arial" w:cs="Arial"/>
                <w:sz w:val="18"/>
                <w:szCs w:val="18"/>
              </w:rPr>
            </w:pPr>
            <w:r w:rsidRPr="00BB53C0">
              <w:rPr>
                <w:rFonts w:ascii="Arial" w:eastAsia="Times New Roman" w:hAnsi="Arial" w:cs="Arial"/>
                <w:sz w:val="18"/>
                <w:szCs w:val="18"/>
              </w:rPr>
              <w:t>2022</w:t>
            </w:r>
          </w:p>
        </w:tc>
      </w:tr>
      <w:tr w:rsidR="00E01CA0" w:rsidRPr="00BB53C0" w14:paraId="3BC38A12"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710A8BCE" w14:textId="77777777" w:rsidR="00E01CA0" w:rsidRPr="00BB53C0" w:rsidRDefault="00E01CA0" w:rsidP="00F517CA">
            <w:pPr>
              <w:spacing w:after="0" w:line="360" w:lineRule="auto"/>
              <w:rPr>
                <w:rFonts w:ascii="Arial" w:eastAsia="Times New Roman" w:hAnsi="Arial" w:cs="Arial"/>
                <w:bCs/>
                <w:sz w:val="18"/>
                <w:szCs w:val="18"/>
              </w:rPr>
            </w:pPr>
            <w:r w:rsidRPr="00BB53C0">
              <w:rPr>
                <w:rFonts w:ascii="Arial" w:eastAsia="Times New Roman" w:hAnsi="Arial" w:cs="Arial"/>
                <w:bCs/>
                <w:sz w:val="18"/>
                <w:szCs w:val="18"/>
              </w:rPr>
              <w:t>Psicosociales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3CA25C81" w14:textId="77777777" w:rsidR="00E01CA0" w:rsidRPr="00BB53C0" w:rsidRDefault="00E01CA0" w:rsidP="00F517CA">
            <w:pPr>
              <w:spacing w:after="0" w:line="360" w:lineRule="auto"/>
              <w:jc w:val="center"/>
              <w:rPr>
                <w:rFonts w:ascii="Arial" w:eastAsia="Times New Roman" w:hAnsi="Arial" w:cs="Arial"/>
                <w:sz w:val="18"/>
                <w:szCs w:val="18"/>
              </w:rPr>
            </w:pPr>
            <w:r w:rsidRPr="00BB53C0">
              <w:rPr>
                <w:rFonts w:ascii="Arial" w:eastAsia="Times New Roman" w:hAnsi="Arial" w:cs="Arial"/>
                <w:sz w:val="18"/>
                <w:szCs w:val="18"/>
              </w:rPr>
              <w:t>1813</w:t>
            </w:r>
          </w:p>
        </w:tc>
      </w:tr>
      <w:tr w:rsidR="00E01CA0" w:rsidRPr="00BB53C0" w14:paraId="680A5419"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579499C6" w14:textId="77777777" w:rsidR="00E01CA0" w:rsidRPr="00BB53C0" w:rsidRDefault="00E01CA0" w:rsidP="00F517CA">
            <w:pPr>
              <w:spacing w:after="0" w:line="360" w:lineRule="auto"/>
              <w:rPr>
                <w:rFonts w:ascii="Arial" w:eastAsia="Times New Roman" w:hAnsi="Arial" w:cs="Arial"/>
                <w:bCs/>
                <w:sz w:val="18"/>
                <w:szCs w:val="18"/>
              </w:rPr>
            </w:pPr>
            <w:r w:rsidRPr="00BB53C0">
              <w:rPr>
                <w:rFonts w:ascii="Arial" w:eastAsia="Times New Roman" w:hAnsi="Arial" w:cs="Arial"/>
                <w:bCs/>
                <w:sz w:val="18"/>
                <w:szCs w:val="18"/>
              </w:rPr>
              <w:t>Seguimiento de medidas alternas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7ADC1479" w14:textId="77777777" w:rsidR="00E01CA0" w:rsidRPr="00BB53C0" w:rsidRDefault="00E01CA0" w:rsidP="00F517CA">
            <w:pPr>
              <w:spacing w:after="0" w:line="360" w:lineRule="auto"/>
              <w:jc w:val="center"/>
              <w:rPr>
                <w:rFonts w:ascii="Arial" w:eastAsia="Times New Roman" w:hAnsi="Arial" w:cs="Arial"/>
                <w:sz w:val="18"/>
                <w:szCs w:val="18"/>
              </w:rPr>
            </w:pPr>
            <w:r w:rsidRPr="00BB53C0">
              <w:rPr>
                <w:rFonts w:ascii="Arial" w:eastAsia="Times New Roman" w:hAnsi="Arial" w:cs="Arial"/>
                <w:sz w:val="18"/>
                <w:szCs w:val="18"/>
              </w:rPr>
              <w:t>679</w:t>
            </w:r>
          </w:p>
        </w:tc>
      </w:tr>
    </w:tbl>
    <w:p w14:paraId="6F4943E2" w14:textId="77777777" w:rsidR="00E01CA0" w:rsidRPr="00BB53C0" w:rsidRDefault="00E01CA0" w:rsidP="00F517CA">
      <w:pPr>
        <w:tabs>
          <w:tab w:val="left" w:pos="6059"/>
        </w:tabs>
        <w:spacing w:after="0" w:line="360" w:lineRule="auto"/>
        <w:jc w:val="both"/>
        <w:rPr>
          <w:rFonts w:ascii="Arial" w:hAnsi="Arial" w:cs="Arial"/>
          <w:sz w:val="24"/>
          <w:szCs w:val="24"/>
        </w:rPr>
      </w:pPr>
      <w:r w:rsidRPr="00BB53C0">
        <w:rPr>
          <w:rFonts w:ascii="Arial" w:hAnsi="Arial" w:cs="Arial"/>
          <w:i/>
          <w:sz w:val="20"/>
          <w:szCs w:val="20"/>
          <w:vertAlign w:val="superscript"/>
        </w:rPr>
        <w:t xml:space="preserve">                                                                                                                         Fuente: Datos preliminares Dirección de Planificación</w:t>
      </w:r>
    </w:p>
    <w:p w14:paraId="68BE1828" w14:textId="77777777" w:rsidR="00E01CA0" w:rsidRPr="00BB53C0" w:rsidRDefault="00E01CA0" w:rsidP="00F517CA">
      <w:pPr>
        <w:tabs>
          <w:tab w:val="left" w:pos="6059"/>
        </w:tabs>
        <w:spacing w:line="360" w:lineRule="auto"/>
        <w:jc w:val="both"/>
        <w:rPr>
          <w:rFonts w:ascii="Arial" w:hAnsi="Arial" w:cs="Arial"/>
          <w:sz w:val="24"/>
          <w:szCs w:val="24"/>
        </w:rPr>
      </w:pPr>
    </w:p>
    <w:p w14:paraId="5FB19577" w14:textId="77777777" w:rsidR="00E01CA0" w:rsidRPr="00BB53C0" w:rsidRDefault="00E01CA0" w:rsidP="00F517CA">
      <w:pPr>
        <w:tabs>
          <w:tab w:val="left" w:pos="6059"/>
        </w:tabs>
        <w:spacing w:line="360" w:lineRule="auto"/>
        <w:jc w:val="both"/>
        <w:rPr>
          <w:rFonts w:ascii="Arial" w:hAnsi="Arial" w:cs="Arial"/>
          <w:sz w:val="24"/>
          <w:szCs w:val="24"/>
        </w:rPr>
      </w:pPr>
      <w:r w:rsidRPr="00BB53C0">
        <w:rPr>
          <w:rFonts w:ascii="Arial" w:hAnsi="Arial" w:cs="Arial"/>
          <w:sz w:val="24"/>
          <w:szCs w:val="24"/>
        </w:rPr>
        <w:t>En materia penal juvenil, tomando en cuenta que las plazas no son exclusivas para la atención de Justicia Juvenil Restaurativa, sino que, es una función más dentro del personal que tramita el proceso ordinario, la organización se realizó conforme la modalidad de trabajo que estableció la Fiscalía Adjunta Penal Juvenil, la coordinación de la Defensa Pública y el Departamento de Trabajo Social y Psicología, según la disposición que tomó cada Juzgado Penal Juvenil en relación a la atención de asuntos. Y de enero a octubre 2020 se cuenta con los siguientes resultados:</w:t>
      </w:r>
    </w:p>
    <w:p w14:paraId="3ABFD564" w14:textId="77777777" w:rsidR="00E01CA0" w:rsidRPr="00BB53C0" w:rsidRDefault="00E01CA0" w:rsidP="00F517CA">
      <w:pPr>
        <w:tabs>
          <w:tab w:val="left" w:pos="6059"/>
        </w:tabs>
        <w:spacing w:line="360" w:lineRule="auto"/>
        <w:jc w:val="both"/>
        <w:rPr>
          <w:rFonts w:ascii="Arial" w:hAnsi="Arial" w:cs="Arial"/>
          <w:sz w:val="24"/>
          <w:szCs w:val="24"/>
        </w:rPr>
      </w:pPr>
    </w:p>
    <w:p w14:paraId="6C6A2B07" w14:textId="77777777" w:rsidR="00E01CA0" w:rsidRPr="00BB53C0" w:rsidRDefault="00E01CA0" w:rsidP="00F517CA">
      <w:pPr>
        <w:tabs>
          <w:tab w:val="left" w:pos="6059"/>
        </w:tabs>
        <w:spacing w:line="360" w:lineRule="auto"/>
        <w:jc w:val="center"/>
        <w:rPr>
          <w:rFonts w:ascii="Arial" w:hAnsi="Arial" w:cs="Arial"/>
          <w:i/>
          <w:color w:val="4F81BD" w:themeColor="accent1"/>
        </w:rPr>
      </w:pPr>
      <w:r w:rsidRPr="00BB53C0">
        <w:rPr>
          <w:rFonts w:ascii="Arial" w:hAnsi="Arial" w:cs="Arial"/>
          <w:i/>
          <w:color w:val="4F81BD" w:themeColor="accent1"/>
        </w:rPr>
        <w:t>Tabla 3. Estadísticas Justicia Juvenil Restaurativa. Enero a octubre 2020.</w:t>
      </w:r>
    </w:p>
    <w:tbl>
      <w:tblPr>
        <w:tblW w:w="6104" w:type="dxa"/>
        <w:jc w:val="center"/>
        <w:tblCellMar>
          <w:left w:w="70" w:type="dxa"/>
          <w:right w:w="70" w:type="dxa"/>
        </w:tblCellMar>
        <w:tblLook w:val="04A0" w:firstRow="1" w:lastRow="0" w:firstColumn="1" w:lastColumn="0" w:noHBand="0" w:noVBand="1"/>
      </w:tblPr>
      <w:tblGrid>
        <w:gridCol w:w="4544"/>
        <w:gridCol w:w="1560"/>
      </w:tblGrid>
      <w:tr w:rsidR="00E01CA0" w:rsidRPr="00BB53C0" w14:paraId="55802697" w14:textId="77777777" w:rsidTr="00E01CA0">
        <w:trPr>
          <w:trHeight w:val="708"/>
          <w:jc w:val="center"/>
        </w:trPr>
        <w:tc>
          <w:tcPr>
            <w:tcW w:w="6103" w:type="dxa"/>
            <w:gridSpan w:val="2"/>
            <w:tcBorders>
              <w:top w:val="single" w:sz="4" w:space="0" w:color="000000"/>
              <w:left w:val="single" w:sz="4" w:space="0" w:color="000000"/>
              <w:bottom w:val="single" w:sz="4" w:space="0" w:color="000000"/>
              <w:right w:val="single" w:sz="4" w:space="0" w:color="000000"/>
            </w:tcBorders>
            <w:shd w:val="clear" w:color="000000" w:fill="1F4E78"/>
            <w:vAlign w:val="bottom"/>
          </w:tcPr>
          <w:p w14:paraId="4001933E" w14:textId="77777777" w:rsidR="00E01CA0" w:rsidRPr="00BB53C0" w:rsidRDefault="00E01CA0" w:rsidP="00F517CA">
            <w:pPr>
              <w:spacing w:after="0" w:line="360" w:lineRule="auto"/>
              <w:jc w:val="center"/>
              <w:rPr>
                <w:rFonts w:ascii="Arial" w:eastAsia="Times New Roman" w:hAnsi="Arial" w:cs="Arial"/>
                <w:b/>
                <w:bCs/>
                <w:color w:val="FFFFFF" w:themeColor="background1"/>
              </w:rPr>
            </w:pPr>
            <w:r w:rsidRPr="00BB53C0">
              <w:rPr>
                <w:rFonts w:ascii="Arial" w:eastAsia="Times New Roman" w:hAnsi="Arial" w:cs="Arial"/>
                <w:b/>
                <w:bCs/>
                <w:color w:val="FFFFFF" w:themeColor="background1"/>
              </w:rPr>
              <w:t xml:space="preserve">Estadísticas Justicia Juvenil Restaurativa </w:t>
            </w:r>
          </w:p>
          <w:p w14:paraId="177A9A5A" w14:textId="77777777" w:rsidR="00E01CA0" w:rsidRPr="00BB53C0" w:rsidRDefault="00E01CA0" w:rsidP="00F517CA">
            <w:pPr>
              <w:spacing w:after="0" w:line="360" w:lineRule="auto"/>
              <w:jc w:val="center"/>
              <w:rPr>
                <w:rFonts w:ascii="Arial" w:eastAsia="Times New Roman" w:hAnsi="Arial" w:cs="Arial"/>
                <w:b/>
                <w:bCs/>
                <w:color w:val="FFFFFF" w:themeColor="background1"/>
              </w:rPr>
            </w:pPr>
            <w:r w:rsidRPr="00BB53C0">
              <w:rPr>
                <w:rFonts w:ascii="Arial" w:eastAsia="Times New Roman" w:hAnsi="Arial" w:cs="Arial"/>
                <w:b/>
                <w:bCs/>
                <w:color w:val="FFFFFF" w:themeColor="background1"/>
              </w:rPr>
              <w:t>Enero-Octubre 2020</w:t>
            </w:r>
          </w:p>
        </w:tc>
      </w:tr>
      <w:tr w:rsidR="00E01CA0" w:rsidRPr="00BB53C0" w14:paraId="193AC26D"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BDD7EE"/>
            <w:vAlign w:val="bottom"/>
          </w:tcPr>
          <w:p w14:paraId="30555C07" w14:textId="77777777" w:rsidR="00E01CA0" w:rsidRPr="00BB53C0" w:rsidRDefault="00E01CA0" w:rsidP="00F517CA">
            <w:pPr>
              <w:spacing w:after="0" w:line="360" w:lineRule="auto"/>
              <w:rPr>
                <w:rFonts w:ascii="Arial" w:eastAsia="Times New Roman" w:hAnsi="Arial" w:cs="Arial"/>
                <w:b/>
                <w:bCs/>
                <w:color w:val="000000"/>
              </w:rPr>
            </w:pPr>
            <w:r w:rsidRPr="00BB53C0">
              <w:rPr>
                <w:rFonts w:ascii="Arial" w:eastAsia="Times New Roman" w:hAnsi="Arial" w:cs="Arial"/>
                <w:b/>
                <w:bCs/>
                <w:color w:val="000000"/>
              </w:rPr>
              <w:t>Reuniones Restaurativas señaladas</w:t>
            </w:r>
          </w:p>
        </w:tc>
        <w:tc>
          <w:tcPr>
            <w:tcW w:w="1560" w:type="dxa"/>
            <w:tcBorders>
              <w:top w:val="single" w:sz="4" w:space="0" w:color="000000"/>
              <w:bottom w:val="single" w:sz="4" w:space="0" w:color="000000"/>
              <w:right w:val="single" w:sz="4" w:space="0" w:color="000000"/>
            </w:tcBorders>
            <w:shd w:val="clear" w:color="000000" w:fill="BDD7EE"/>
            <w:vAlign w:val="bottom"/>
          </w:tcPr>
          <w:p w14:paraId="55B844F8" w14:textId="77777777" w:rsidR="00E01CA0" w:rsidRPr="00BB53C0" w:rsidRDefault="00E01CA0" w:rsidP="00F517CA">
            <w:pPr>
              <w:spacing w:after="0" w:line="360" w:lineRule="auto"/>
              <w:jc w:val="center"/>
              <w:rPr>
                <w:rFonts w:ascii="Arial" w:eastAsia="Times New Roman" w:hAnsi="Arial" w:cs="Arial"/>
                <w:b/>
                <w:bCs/>
                <w:color w:val="000000"/>
              </w:rPr>
            </w:pPr>
            <w:r w:rsidRPr="00BB53C0">
              <w:rPr>
                <w:rFonts w:ascii="Arial" w:eastAsia="Times New Roman" w:hAnsi="Arial" w:cs="Arial"/>
                <w:b/>
                <w:bCs/>
                <w:color w:val="000000"/>
              </w:rPr>
              <w:t>213</w:t>
            </w:r>
          </w:p>
        </w:tc>
      </w:tr>
      <w:tr w:rsidR="00E01CA0" w:rsidRPr="00BB53C0" w14:paraId="4FBE67BB"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7E418B63" w14:textId="77777777" w:rsidR="00E01CA0" w:rsidRPr="00BB53C0" w:rsidRDefault="00E01CA0" w:rsidP="00F517CA">
            <w:pPr>
              <w:spacing w:after="0" w:line="360" w:lineRule="auto"/>
              <w:ind w:firstLine="221"/>
              <w:rPr>
                <w:rFonts w:ascii="Arial" w:eastAsia="Times New Roman" w:hAnsi="Arial" w:cs="Arial"/>
                <w:b/>
                <w:bCs/>
                <w:color w:val="000000"/>
              </w:rPr>
            </w:pPr>
            <w:r w:rsidRPr="00BB53C0">
              <w:rPr>
                <w:rFonts w:ascii="Arial" w:eastAsia="Times New Roman" w:hAnsi="Arial" w:cs="Arial"/>
                <w:b/>
                <w:bCs/>
                <w:color w:val="000000"/>
              </w:rPr>
              <w:t>Realizadas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338D5338"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152</w:t>
            </w:r>
          </w:p>
        </w:tc>
      </w:tr>
      <w:tr w:rsidR="00E01CA0" w:rsidRPr="00BB53C0" w14:paraId="2DD1946A"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569E4959" w14:textId="77777777" w:rsidR="00E01CA0" w:rsidRPr="00BB53C0" w:rsidRDefault="00E01CA0" w:rsidP="00F517CA">
            <w:pPr>
              <w:spacing w:after="0" w:line="360" w:lineRule="auto"/>
              <w:ind w:firstLine="220"/>
              <w:rPr>
                <w:rFonts w:ascii="Arial" w:eastAsia="Times New Roman" w:hAnsi="Arial" w:cs="Arial"/>
                <w:color w:val="000000"/>
              </w:rPr>
            </w:pPr>
            <w:r w:rsidRPr="00BB53C0">
              <w:rPr>
                <w:rFonts w:ascii="Arial" w:eastAsia="Times New Roman" w:hAnsi="Arial" w:cs="Arial"/>
                <w:color w:val="000000"/>
              </w:rPr>
              <w:t>Con acuerdo</w:t>
            </w:r>
          </w:p>
        </w:tc>
        <w:tc>
          <w:tcPr>
            <w:tcW w:w="1560" w:type="dxa"/>
            <w:tcBorders>
              <w:top w:val="single" w:sz="4" w:space="0" w:color="000000"/>
              <w:bottom w:val="single" w:sz="4" w:space="0" w:color="000000"/>
              <w:right w:val="single" w:sz="4" w:space="0" w:color="000000"/>
            </w:tcBorders>
            <w:shd w:val="clear" w:color="000000" w:fill="FFFFFF"/>
            <w:vAlign w:val="bottom"/>
          </w:tcPr>
          <w:p w14:paraId="1170C210" w14:textId="77777777" w:rsidR="00E01CA0" w:rsidRPr="00BB53C0" w:rsidRDefault="00E01CA0" w:rsidP="00F517CA">
            <w:pPr>
              <w:spacing w:after="0" w:line="360" w:lineRule="auto"/>
              <w:jc w:val="center"/>
              <w:rPr>
                <w:rFonts w:ascii="Arial" w:eastAsia="Times New Roman" w:hAnsi="Arial" w:cs="Arial"/>
              </w:rPr>
            </w:pPr>
            <w:r w:rsidRPr="00BB53C0">
              <w:rPr>
                <w:rFonts w:ascii="Arial" w:eastAsia="Times New Roman" w:hAnsi="Arial" w:cs="Arial"/>
              </w:rPr>
              <w:t>148</w:t>
            </w:r>
          </w:p>
        </w:tc>
      </w:tr>
      <w:tr w:rsidR="00E01CA0" w:rsidRPr="00BB53C0" w14:paraId="05CD9F17"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5C376D9D" w14:textId="77777777" w:rsidR="00E01CA0" w:rsidRPr="00BB53C0" w:rsidRDefault="00E01CA0" w:rsidP="00F517CA">
            <w:pPr>
              <w:spacing w:after="0" w:line="360" w:lineRule="auto"/>
              <w:ind w:firstLine="220"/>
              <w:rPr>
                <w:rFonts w:ascii="Arial" w:eastAsia="Times New Roman" w:hAnsi="Arial" w:cs="Arial"/>
                <w:color w:val="000000"/>
              </w:rPr>
            </w:pPr>
            <w:r w:rsidRPr="00BB53C0">
              <w:rPr>
                <w:rFonts w:ascii="Arial" w:eastAsia="Times New Roman" w:hAnsi="Arial" w:cs="Arial"/>
                <w:color w:val="000000"/>
              </w:rPr>
              <w:t>No hubo acuerdo</w:t>
            </w:r>
          </w:p>
        </w:tc>
        <w:tc>
          <w:tcPr>
            <w:tcW w:w="1560" w:type="dxa"/>
            <w:tcBorders>
              <w:top w:val="single" w:sz="4" w:space="0" w:color="000000"/>
              <w:bottom w:val="single" w:sz="4" w:space="0" w:color="000000"/>
              <w:right w:val="single" w:sz="4" w:space="0" w:color="000000"/>
            </w:tcBorders>
            <w:shd w:val="clear" w:color="000000" w:fill="FFFFFF"/>
            <w:vAlign w:val="bottom"/>
          </w:tcPr>
          <w:p w14:paraId="55750856"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10</w:t>
            </w:r>
          </w:p>
        </w:tc>
      </w:tr>
      <w:tr w:rsidR="00E01CA0" w:rsidRPr="00BB53C0" w14:paraId="209FCCCB"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3C5CF2A6" w14:textId="77777777" w:rsidR="00E01CA0" w:rsidRPr="00BB53C0" w:rsidRDefault="00E01CA0" w:rsidP="00F517CA">
            <w:pPr>
              <w:spacing w:after="0" w:line="360" w:lineRule="auto"/>
              <w:ind w:firstLine="220"/>
              <w:rPr>
                <w:rFonts w:ascii="Arial" w:eastAsia="Times New Roman" w:hAnsi="Arial" w:cs="Arial"/>
                <w:bCs/>
                <w:color w:val="000000"/>
              </w:rPr>
            </w:pPr>
            <w:r w:rsidRPr="00BB53C0">
              <w:rPr>
                <w:rFonts w:ascii="Arial" w:eastAsia="Times New Roman" w:hAnsi="Arial" w:cs="Arial"/>
                <w:bCs/>
                <w:color w:val="000000"/>
              </w:rPr>
              <w:t>No realizadas</w:t>
            </w:r>
          </w:p>
        </w:tc>
        <w:tc>
          <w:tcPr>
            <w:tcW w:w="1560" w:type="dxa"/>
            <w:tcBorders>
              <w:top w:val="single" w:sz="4" w:space="0" w:color="000000"/>
              <w:bottom w:val="single" w:sz="4" w:space="0" w:color="000000"/>
              <w:right w:val="single" w:sz="4" w:space="0" w:color="000000"/>
            </w:tcBorders>
            <w:shd w:val="clear" w:color="000000" w:fill="FFFFFF"/>
            <w:vAlign w:val="bottom"/>
          </w:tcPr>
          <w:p w14:paraId="54D5941C"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58</w:t>
            </w:r>
          </w:p>
        </w:tc>
      </w:tr>
      <w:tr w:rsidR="00E01CA0" w:rsidRPr="00BB53C0" w14:paraId="5C762AF0"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BDD7EE"/>
            <w:vAlign w:val="bottom"/>
          </w:tcPr>
          <w:p w14:paraId="2D803A53" w14:textId="77777777" w:rsidR="00E01CA0" w:rsidRPr="00BB53C0" w:rsidRDefault="00E01CA0" w:rsidP="00F517CA">
            <w:pPr>
              <w:spacing w:after="0" w:line="360" w:lineRule="auto"/>
              <w:ind w:firstLine="221"/>
              <w:rPr>
                <w:rFonts w:ascii="Arial" w:eastAsia="Times New Roman" w:hAnsi="Arial" w:cs="Arial"/>
                <w:b/>
                <w:bCs/>
                <w:color w:val="000000"/>
              </w:rPr>
            </w:pPr>
            <w:r w:rsidRPr="00BB53C0">
              <w:rPr>
                <w:rFonts w:ascii="Arial" w:eastAsia="Times New Roman" w:hAnsi="Arial" w:cs="Arial"/>
                <w:b/>
                <w:bCs/>
                <w:color w:val="000000"/>
              </w:rPr>
              <w:t>Aud. Verificación Señaladas</w:t>
            </w:r>
          </w:p>
        </w:tc>
        <w:tc>
          <w:tcPr>
            <w:tcW w:w="1560" w:type="dxa"/>
            <w:tcBorders>
              <w:top w:val="single" w:sz="4" w:space="0" w:color="000000"/>
              <w:bottom w:val="single" w:sz="4" w:space="0" w:color="000000"/>
              <w:right w:val="single" w:sz="4" w:space="0" w:color="000000"/>
            </w:tcBorders>
            <w:shd w:val="clear" w:color="000000" w:fill="BDD7EE"/>
            <w:vAlign w:val="bottom"/>
          </w:tcPr>
          <w:p w14:paraId="2B4A4CEF" w14:textId="77777777" w:rsidR="00E01CA0" w:rsidRPr="00BB53C0" w:rsidRDefault="00E01CA0" w:rsidP="00F517CA">
            <w:pPr>
              <w:spacing w:after="0" w:line="360" w:lineRule="auto"/>
              <w:jc w:val="center"/>
              <w:rPr>
                <w:rFonts w:ascii="Arial" w:eastAsia="Times New Roman" w:hAnsi="Arial" w:cs="Arial"/>
                <w:b/>
                <w:bCs/>
                <w:color w:val="000000"/>
              </w:rPr>
            </w:pPr>
            <w:r w:rsidRPr="00BB53C0">
              <w:rPr>
                <w:rFonts w:ascii="Arial" w:eastAsia="Times New Roman" w:hAnsi="Arial" w:cs="Arial"/>
                <w:b/>
                <w:bCs/>
                <w:color w:val="000000"/>
              </w:rPr>
              <w:t>108</w:t>
            </w:r>
          </w:p>
        </w:tc>
      </w:tr>
      <w:tr w:rsidR="00E01CA0" w:rsidRPr="00BB53C0" w14:paraId="7D8381E5"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3C5A2948" w14:textId="77777777" w:rsidR="00E01CA0" w:rsidRPr="00BB53C0" w:rsidRDefault="00E01CA0" w:rsidP="00F517CA">
            <w:pPr>
              <w:spacing w:after="0" w:line="360" w:lineRule="auto"/>
              <w:ind w:firstLine="220"/>
              <w:rPr>
                <w:rFonts w:ascii="Arial" w:eastAsia="Times New Roman" w:hAnsi="Arial" w:cs="Arial"/>
                <w:color w:val="000000"/>
              </w:rPr>
            </w:pPr>
            <w:r w:rsidRPr="00BB53C0">
              <w:rPr>
                <w:rFonts w:ascii="Arial" w:eastAsia="Times New Roman" w:hAnsi="Arial" w:cs="Arial"/>
                <w:color w:val="000000"/>
              </w:rPr>
              <w:t>Realizadas</w:t>
            </w:r>
          </w:p>
        </w:tc>
        <w:tc>
          <w:tcPr>
            <w:tcW w:w="1560" w:type="dxa"/>
            <w:tcBorders>
              <w:top w:val="single" w:sz="4" w:space="0" w:color="000000"/>
              <w:bottom w:val="single" w:sz="4" w:space="0" w:color="000000"/>
              <w:right w:val="single" w:sz="4" w:space="0" w:color="000000"/>
            </w:tcBorders>
            <w:shd w:val="clear" w:color="000000" w:fill="FFFFFF"/>
            <w:vAlign w:val="bottom"/>
          </w:tcPr>
          <w:p w14:paraId="69EE7ECE"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79</w:t>
            </w:r>
          </w:p>
        </w:tc>
      </w:tr>
      <w:tr w:rsidR="00E01CA0" w:rsidRPr="00BB53C0" w14:paraId="17213592"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391B1EF6" w14:textId="77777777" w:rsidR="00E01CA0" w:rsidRPr="00BB53C0" w:rsidRDefault="00E01CA0" w:rsidP="00F517CA">
            <w:pPr>
              <w:spacing w:after="0" w:line="360" w:lineRule="auto"/>
              <w:ind w:firstLine="220"/>
              <w:rPr>
                <w:rFonts w:ascii="Arial" w:eastAsia="Times New Roman" w:hAnsi="Arial" w:cs="Arial"/>
                <w:color w:val="000000"/>
              </w:rPr>
            </w:pPr>
            <w:r w:rsidRPr="00BB53C0">
              <w:rPr>
                <w:rFonts w:ascii="Arial" w:eastAsia="Times New Roman" w:hAnsi="Arial" w:cs="Arial"/>
                <w:color w:val="000000"/>
              </w:rPr>
              <w:t>No realizadas</w:t>
            </w:r>
          </w:p>
        </w:tc>
        <w:tc>
          <w:tcPr>
            <w:tcW w:w="1560" w:type="dxa"/>
            <w:tcBorders>
              <w:top w:val="single" w:sz="4" w:space="0" w:color="000000"/>
              <w:bottom w:val="single" w:sz="4" w:space="0" w:color="000000"/>
              <w:right w:val="single" w:sz="4" w:space="0" w:color="000000"/>
            </w:tcBorders>
            <w:shd w:val="clear" w:color="000000" w:fill="FFFFFF"/>
            <w:vAlign w:val="bottom"/>
          </w:tcPr>
          <w:p w14:paraId="607F8514"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30</w:t>
            </w:r>
          </w:p>
        </w:tc>
      </w:tr>
      <w:tr w:rsidR="00E01CA0" w:rsidRPr="00BB53C0" w14:paraId="2395154D"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7010EBB1" w14:textId="77777777" w:rsidR="00E01CA0" w:rsidRPr="00BB53C0" w:rsidRDefault="00E01CA0" w:rsidP="00F517CA">
            <w:pPr>
              <w:spacing w:after="0" w:line="360" w:lineRule="auto"/>
              <w:ind w:firstLine="220"/>
              <w:rPr>
                <w:rFonts w:ascii="Arial" w:eastAsia="Times New Roman" w:hAnsi="Arial" w:cs="Arial"/>
                <w:color w:val="000000"/>
              </w:rPr>
            </w:pPr>
            <w:r w:rsidRPr="00BB53C0">
              <w:rPr>
                <w:rFonts w:ascii="Arial" w:eastAsia="Times New Roman" w:hAnsi="Arial" w:cs="Arial"/>
                <w:color w:val="000000"/>
              </w:rPr>
              <w:t>Revocatoria</w:t>
            </w:r>
          </w:p>
        </w:tc>
        <w:tc>
          <w:tcPr>
            <w:tcW w:w="1560" w:type="dxa"/>
            <w:tcBorders>
              <w:top w:val="single" w:sz="4" w:space="0" w:color="000000"/>
              <w:bottom w:val="single" w:sz="4" w:space="0" w:color="000000"/>
              <w:right w:val="single" w:sz="4" w:space="0" w:color="000000"/>
            </w:tcBorders>
            <w:shd w:val="clear" w:color="000000" w:fill="FFFFFF"/>
            <w:vAlign w:val="bottom"/>
          </w:tcPr>
          <w:p w14:paraId="542ED458"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0</w:t>
            </w:r>
          </w:p>
        </w:tc>
      </w:tr>
      <w:tr w:rsidR="00E01CA0" w:rsidRPr="00BB53C0" w14:paraId="5A4C8CEB"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BDD7EE"/>
            <w:vAlign w:val="bottom"/>
          </w:tcPr>
          <w:p w14:paraId="295F02F1" w14:textId="77777777" w:rsidR="00E01CA0" w:rsidRPr="00BB53C0" w:rsidRDefault="00E01CA0" w:rsidP="00F517CA">
            <w:pPr>
              <w:spacing w:after="0" w:line="360" w:lineRule="auto"/>
              <w:ind w:firstLine="221"/>
              <w:rPr>
                <w:rFonts w:ascii="Arial" w:eastAsia="Times New Roman" w:hAnsi="Arial" w:cs="Arial"/>
                <w:b/>
                <w:bCs/>
                <w:color w:val="000000"/>
              </w:rPr>
            </w:pPr>
            <w:r w:rsidRPr="00BB53C0">
              <w:rPr>
                <w:rFonts w:ascii="Arial" w:eastAsia="Times New Roman" w:hAnsi="Arial" w:cs="Arial"/>
                <w:b/>
                <w:bCs/>
                <w:color w:val="000000"/>
              </w:rPr>
              <w:t>Red de apoyo</w:t>
            </w:r>
          </w:p>
        </w:tc>
        <w:tc>
          <w:tcPr>
            <w:tcW w:w="1560" w:type="dxa"/>
            <w:tcBorders>
              <w:top w:val="single" w:sz="4" w:space="0" w:color="000000"/>
              <w:bottom w:val="single" w:sz="4" w:space="0" w:color="000000"/>
              <w:right w:val="single" w:sz="4" w:space="0" w:color="000000"/>
            </w:tcBorders>
            <w:shd w:val="clear" w:color="000000" w:fill="BDD7EE"/>
            <w:vAlign w:val="bottom"/>
          </w:tcPr>
          <w:p w14:paraId="3D009478" w14:textId="77777777" w:rsidR="00E01CA0" w:rsidRPr="00BB53C0" w:rsidRDefault="00E01CA0" w:rsidP="00F517CA">
            <w:pPr>
              <w:spacing w:after="0" w:line="360" w:lineRule="auto"/>
              <w:jc w:val="center"/>
              <w:rPr>
                <w:rFonts w:ascii="Arial" w:eastAsia="Times New Roman" w:hAnsi="Arial" w:cs="Arial"/>
                <w:color w:val="000000"/>
              </w:rPr>
            </w:pPr>
          </w:p>
        </w:tc>
      </w:tr>
      <w:tr w:rsidR="00E01CA0" w:rsidRPr="00BB53C0" w14:paraId="753FA0E7" w14:textId="77777777" w:rsidTr="00E01CA0">
        <w:trPr>
          <w:trHeight w:val="363"/>
          <w:jc w:val="center"/>
        </w:trPr>
        <w:tc>
          <w:tcPr>
            <w:tcW w:w="4543" w:type="dxa"/>
            <w:tcBorders>
              <w:top w:val="single" w:sz="4" w:space="0" w:color="000000"/>
              <w:left w:val="single" w:sz="4" w:space="0" w:color="000000"/>
              <w:bottom w:val="single" w:sz="4" w:space="0" w:color="000000"/>
            </w:tcBorders>
            <w:shd w:val="clear" w:color="000000" w:fill="FFFFFF"/>
            <w:vAlign w:val="bottom"/>
          </w:tcPr>
          <w:p w14:paraId="45C6FE98" w14:textId="77777777" w:rsidR="00E01CA0" w:rsidRPr="00BB53C0" w:rsidRDefault="00E01CA0" w:rsidP="00F517CA">
            <w:pPr>
              <w:spacing w:after="0" w:line="360" w:lineRule="auto"/>
              <w:ind w:firstLine="220"/>
              <w:rPr>
                <w:rFonts w:ascii="Arial" w:eastAsia="Times New Roman" w:hAnsi="Arial" w:cs="Arial"/>
                <w:color w:val="000000"/>
              </w:rPr>
            </w:pPr>
            <w:r w:rsidRPr="00BB53C0">
              <w:rPr>
                <w:rFonts w:ascii="Arial" w:eastAsia="Times New Roman" w:hAnsi="Arial" w:cs="Arial"/>
                <w:color w:val="000000"/>
              </w:rPr>
              <w:t xml:space="preserve">Coordinaciones interinstitucionales </w:t>
            </w:r>
          </w:p>
        </w:tc>
        <w:tc>
          <w:tcPr>
            <w:tcW w:w="1560" w:type="dxa"/>
            <w:tcBorders>
              <w:top w:val="single" w:sz="4" w:space="0" w:color="000000"/>
              <w:bottom w:val="single" w:sz="4" w:space="0" w:color="000000"/>
              <w:right w:val="single" w:sz="4" w:space="0" w:color="000000"/>
            </w:tcBorders>
            <w:shd w:val="clear" w:color="000000" w:fill="FFFFFF"/>
            <w:vAlign w:val="bottom"/>
          </w:tcPr>
          <w:p w14:paraId="7E21E448" w14:textId="77777777" w:rsidR="00E01CA0" w:rsidRPr="00BB53C0" w:rsidRDefault="00E01CA0" w:rsidP="00F517CA">
            <w:pPr>
              <w:spacing w:after="0" w:line="360" w:lineRule="auto"/>
              <w:jc w:val="center"/>
              <w:rPr>
                <w:rFonts w:ascii="Arial" w:eastAsia="Times New Roman" w:hAnsi="Arial" w:cs="Arial"/>
                <w:color w:val="000000"/>
              </w:rPr>
            </w:pPr>
            <w:r w:rsidRPr="00BB53C0">
              <w:rPr>
                <w:rFonts w:ascii="Arial" w:eastAsia="Times New Roman" w:hAnsi="Arial" w:cs="Arial"/>
                <w:color w:val="000000"/>
              </w:rPr>
              <w:t>388</w:t>
            </w:r>
          </w:p>
        </w:tc>
      </w:tr>
      <w:tr w:rsidR="00E01CA0" w:rsidRPr="00BB53C0" w14:paraId="0863240E"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250CBCC6" w14:textId="77777777" w:rsidR="00E01CA0" w:rsidRPr="00BB53C0" w:rsidRDefault="00E01CA0" w:rsidP="00F517CA">
            <w:pPr>
              <w:spacing w:after="0" w:line="360" w:lineRule="auto"/>
              <w:rPr>
                <w:rFonts w:ascii="Arial" w:eastAsia="Times New Roman" w:hAnsi="Arial" w:cs="Arial"/>
                <w:b/>
                <w:bCs/>
              </w:rPr>
            </w:pPr>
            <w:r w:rsidRPr="00BB53C0">
              <w:rPr>
                <w:rFonts w:ascii="Arial" w:eastAsia="Times New Roman" w:hAnsi="Arial" w:cs="Arial"/>
                <w:b/>
                <w:bCs/>
              </w:rPr>
              <w:t>Cantidad de instituciones que conforman la red</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74B2BF55" w14:textId="77777777" w:rsidR="00E01CA0" w:rsidRPr="00BB53C0" w:rsidRDefault="00E01CA0" w:rsidP="00F517CA">
            <w:pPr>
              <w:spacing w:after="0" w:line="360" w:lineRule="auto"/>
              <w:jc w:val="center"/>
              <w:rPr>
                <w:rFonts w:ascii="Arial" w:eastAsia="Times New Roman" w:hAnsi="Arial" w:cs="Arial"/>
              </w:rPr>
            </w:pPr>
            <w:r w:rsidRPr="00BB53C0">
              <w:rPr>
                <w:rFonts w:ascii="Arial" w:eastAsia="Times New Roman" w:hAnsi="Arial" w:cs="Arial"/>
              </w:rPr>
              <w:t>1300</w:t>
            </w:r>
          </w:p>
        </w:tc>
      </w:tr>
      <w:tr w:rsidR="00E01CA0" w:rsidRPr="00BB53C0" w14:paraId="0D48DEC3"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B8CCE4" w:themeFill="accent1" w:themeFillTint="66"/>
            <w:vAlign w:val="bottom"/>
          </w:tcPr>
          <w:p w14:paraId="5E6AF072" w14:textId="77777777" w:rsidR="00E01CA0" w:rsidRPr="00BB53C0" w:rsidRDefault="00E01CA0" w:rsidP="00F517CA">
            <w:pPr>
              <w:spacing w:after="0" w:line="360" w:lineRule="auto"/>
              <w:rPr>
                <w:rFonts w:ascii="Arial" w:eastAsia="Times New Roman" w:hAnsi="Arial" w:cs="Arial"/>
                <w:b/>
                <w:bCs/>
              </w:rPr>
            </w:pPr>
            <w:r w:rsidRPr="00BB53C0">
              <w:rPr>
                <w:rFonts w:ascii="Arial" w:eastAsia="Times New Roman" w:hAnsi="Arial" w:cs="Arial"/>
                <w:b/>
                <w:bCs/>
              </w:rPr>
              <w:t>Entrevistas</w:t>
            </w:r>
          </w:p>
        </w:tc>
        <w:tc>
          <w:tcPr>
            <w:tcW w:w="1560" w:type="dxa"/>
            <w:tcBorders>
              <w:top w:val="single" w:sz="4" w:space="0" w:color="000000"/>
              <w:bottom w:val="single" w:sz="4" w:space="0" w:color="000000"/>
              <w:right w:val="single" w:sz="4" w:space="0" w:color="000000"/>
            </w:tcBorders>
            <w:shd w:val="clear" w:color="auto" w:fill="B8CCE4" w:themeFill="accent1" w:themeFillTint="66"/>
            <w:vAlign w:val="bottom"/>
          </w:tcPr>
          <w:p w14:paraId="47972A91" w14:textId="77777777" w:rsidR="00E01CA0" w:rsidRPr="00BB53C0" w:rsidRDefault="00E01CA0" w:rsidP="00F517CA">
            <w:pPr>
              <w:spacing w:after="0" w:line="360" w:lineRule="auto"/>
              <w:jc w:val="center"/>
              <w:rPr>
                <w:rFonts w:ascii="Arial" w:eastAsia="Times New Roman" w:hAnsi="Arial" w:cs="Arial"/>
              </w:rPr>
            </w:pPr>
          </w:p>
        </w:tc>
      </w:tr>
      <w:tr w:rsidR="00E01CA0" w:rsidRPr="00BB53C0" w14:paraId="69C7027B"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3F968966" w14:textId="77777777" w:rsidR="00E01CA0" w:rsidRPr="00BB53C0" w:rsidRDefault="00E01CA0" w:rsidP="00F517CA">
            <w:pPr>
              <w:spacing w:after="0" w:line="360" w:lineRule="auto"/>
              <w:rPr>
                <w:rFonts w:ascii="Arial" w:eastAsia="Times New Roman" w:hAnsi="Arial" w:cs="Arial"/>
                <w:bCs/>
              </w:rPr>
            </w:pPr>
            <w:r w:rsidRPr="00BB53C0">
              <w:rPr>
                <w:rFonts w:ascii="Arial" w:eastAsia="Times New Roman" w:hAnsi="Arial" w:cs="Arial"/>
                <w:bCs/>
              </w:rPr>
              <w:t>Legales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0D21EE7E" w14:textId="77777777" w:rsidR="00E01CA0" w:rsidRPr="00BB53C0" w:rsidRDefault="00E01CA0" w:rsidP="00F517CA">
            <w:pPr>
              <w:spacing w:after="0" w:line="360" w:lineRule="auto"/>
              <w:jc w:val="center"/>
              <w:rPr>
                <w:rFonts w:ascii="Arial" w:eastAsia="Times New Roman" w:hAnsi="Arial" w:cs="Arial"/>
              </w:rPr>
            </w:pPr>
            <w:r w:rsidRPr="00BB53C0">
              <w:rPr>
                <w:rFonts w:ascii="Arial" w:eastAsia="Times New Roman" w:hAnsi="Arial" w:cs="Arial"/>
              </w:rPr>
              <w:t>1543</w:t>
            </w:r>
          </w:p>
        </w:tc>
      </w:tr>
      <w:tr w:rsidR="00E01CA0" w:rsidRPr="00BB53C0" w14:paraId="2BB9CC21" w14:textId="77777777" w:rsidTr="00E01CA0">
        <w:trPr>
          <w:trHeight w:val="339"/>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12B7170E" w14:textId="77777777" w:rsidR="00E01CA0" w:rsidRPr="00BB53C0" w:rsidRDefault="00E01CA0" w:rsidP="00F517CA">
            <w:pPr>
              <w:spacing w:after="0" w:line="360" w:lineRule="auto"/>
              <w:rPr>
                <w:rFonts w:ascii="Arial" w:eastAsia="Times New Roman" w:hAnsi="Arial" w:cs="Arial"/>
                <w:bCs/>
              </w:rPr>
            </w:pPr>
            <w:r w:rsidRPr="00BB53C0">
              <w:rPr>
                <w:rFonts w:ascii="Arial" w:eastAsia="Times New Roman" w:hAnsi="Arial" w:cs="Arial"/>
                <w:bCs/>
              </w:rPr>
              <w:t>Psicosociales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14FC3CEB" w14:textId="77777777" w:rsidR="00E01CA0" w:rsidRPr="00BB53C0" w:rsidRDefault="00E01CA0" w:rsidP="00F517CA">
            <w:pPr>
              <w:spacing w:after="0" w:line="360" w:lineRule="auto"/>
              <w:jc w:val="center"/>
              <w:rPr>
                <w:rFonts w:ascii="Arial" w:eastAsia="Times New Roman" w:hAnsi="Arial" w:cs="Arial"/>
              </w:rPr>
            </w:pPr>
            <w:r w:rsidRPr="00BB53C0">
              <w:rPr>
                <w:rFonts w:ascii="Arial" w:eastAsia="Times New Roman" w:hAnsi="Arial" w:cs="Arial"/>
              </w:rPr>
              <w:t>768</w:t>
            </w:r>
          </w:p>
        </w:tc>
      </w:tr>
      <w:tr w:rsidR="00E01CA0" w:rsidRPr="00BB53C0" w14:paraId="512B4F6C" w14:textId="77777777" w:rsidTr="00E01CA0">
        <w:trPr>
          <w:trHeight w:val="376"/>
          <w:jc w:val="center"/>
        </w:trPr>
        <w:tc>
          <w:tcPr>
            <w:tcW w:w="4543" w:type="dxa"/>
            <w:tcBorders>
              <w:top w:val="single" w:sz="4" w:space="0" w:color="000000"/>
              <w:left w:val="single" w:sz="4" w:space="0" w:color="000000"/>
              <w:bottom w:val="single" w:sz="4" w:space="0" w:color="000000"/>
            </w:tcBorders>
            <w:shd w:val="clear" w:color="auto" w:fill="FFFFFF" w:themeFill="background1"/>
            <w:vAlign w:val="bottom"/>
          </w:tcPr>
          <w:p w14:paraId="11D8CFC7" w14:textId="77777777" w:rsidR="00E01CA0" w:rsidRPr="00BB53C0" w:rsidRDefault="00E01CA0" w:rsidP="00F517CA">
            <w:pPr>
              <w:spacing w:after="0" w:line="360" w:lineRule="auto"/>
              <w:rPr>
                <w:rFonts w:ascii="Arial" w:eastAsia="Times New Roman" w:hAnsi="Arial" w:cs="Arial"/>
                <w:bCs/>
              </w:rPr>
            </w:pPr>
            <w:r w:rsidRPr="00BB53C0">
              <w:rPr>
                <w:rFonts w:ascii="Arial" w:eastAsia="Times New Roman" w:hAnsi="Arial" w:cs="Arial"/>
                <w:bCs/>
              </w:rPr>
              <w:t>Seguimiento de medidas alternas</w:t>
            </w:r>
          </w:p>
        </w:tc>
        <w:tc>
          <w:tcPr>
            <w:tcW w:w="1560" w:type="dxa"/>
            <w:tcBorders>
              <w:top w:val="single" w:sz="4" w:space="0" w:color="000000"/>
              <w:bottom w:val="single" w:sz="4" w:space="0" w:color="000000"/>
              <w:right w:val="single" w:sz="4" w:space="0" w:color="000000"/>
            </w:tcBorders>
            <w:shd w:val="clear" w:color="auto" w:fill="FFFFFF" w:themeFill="background1"/>
            <w:vAlign w:val="bottom"/>
          </w:tcPr>
          <w:p w14:paraId="45A7CB33" w14:textId="77777777" w:rsidR="00E01CA0" w:rsidRPr="00BB53C0" w:rsidRDefault="00E01CA0" w:rsidP="00F517CA">
            <w:pPr>
              <w:spacing w:after="0" w:line="360" w:lineRule="auto"/>
              <w:jc w:val="center"/>
              <w:rPr>
                <w:rFonts w:ascii="Arial" w:eastAsia="Times New Roman" w:hAnsi="Arial" w:cs="Arial"/>
              </w:rPr>
            </w:pPr>
            <w:r w:rsidRPr="00BB53C0">
              <w:rPr>
                <w:rFonts w:ascii="Arial" w:eastAsia="Times New Roman" w:hAnsi="Arial" w:cs="Arial"/>
              </w:rPr>
              <w:t>59</w:t>
            </w:r>
          </w:p>
        </w:tc>
      </w:tr>
    </w:tbl>
    <w:p w14:paraId="0592D1A8" w14:textId="77777777" w:rsidR="00E01CA0" w:rsidRPr="00BB53C0" w:rsidRDefault="00E01CA0" w:rsidP="00F517CA">
      <w:pPr>
        <w:tabs>
          <w:tab w:val="left" w:pos="6059"/>
        </w:tabs>
        <w:spacing w:after="0" w:line="360" w:lineRule="auto"/>
        <w:jc w:val="center"/>
        <w:rPr>
          <w:rFonts w:ascii="Arial" w:hAnsi="Arial" w:cs="Arial"/>
          <w:i/>
          <w:sz w:val="18"/>
          <w:szCs w:val="18"/>
          <w:vertAlign w:val="superscript"/>
        </w:rPr>
      </w:pPr>
      <w:r w:rsidRPr="00BB53C0">
        <w:rPr>
          <w:rFonts w:ascii="Arial" w:hAnsi="Arial" w:cs="Arial"/>
          <w:i/>
          <w:sz w:val="18"/>
          <w:szCs w:val="18"/>
          <w:vertAlign w:val="superscript"/>
        </w:rPr>
        <w:t xml:space="preserve">                                                                                      Fuente: Datos preliminares Dirección de Planificación </w:t>
      </w:r>
    </w:p>
    <w:p w14:paraId="6C81D153" w14:textId="77777777" w:rsidR="00E01CA0" w:rsidRPr="00BB53C0" w:rsidRDefault="00E01CA0" w:rsidP="00F517CA">
      <w:pPr>
        <w:tabs>
          <w:tab w:val="left" w:pos="6059"/>
        </w:tabs>
        <w:spacing w:line="360" w:lineRule="auto"/>
        <w:jc w:val="center"/>
        <w:rPr>
          <w:rFonts w:ascii="Arial" w:hAnsi="Arial" w:cs="Arial"/>
          <w:i/>
          <w:sz w:val="24"/>
          <w:szCs w:val="24"/>
        </w:rPr>
      </w:pPr>
    </w:p>
    <w:p w14:paraId="4B485F4D" w14:textId="77777777" w:rsidR="00E01CA0" w:rsidRPr="00BB53C0" w:rsidRDefault="00E01CA0" w:rsidP="00F517CA">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En acatamiento al reglamento aprobado por Corte Plena en setiembre del 2019, a partir del mes de febrero del 2020, se inició la atención de los procesos de Justicia Restaurativa para el bienestar integral del personal judicial, datos que se detallarán en el apartado de dicho Proyecto.  </w:t>
      </w:r>
    </w:p>
    <w:p w14:paraId="327CFA72" w14:textId="77777777" w:rsidR="00E01CA0" w:rsidRPr="00BB53C0" w:rsidRDefault="00E01CA0" w:rsidP="00F517CA">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Durante el 2020, con gran empeño, determinación e innovación, se trabajó para mantener un servicio público de calidad, que se refleja en testimonios de personas usuarias, como los que se aprecian a continuación: </w:t>
      </w:r>
    </w:p>
    <w:p w14:paraId="7FA0A959" w14:textId="77777777" w:rsidR="00E01CA0" w:rsidRPr="00BB53C0" w:rsidRDefault="00E01CA0" w:rsidP="00F517CA">
      <w:pPr>
        <w:tabs>
          <w:tab w:val="left" w:pos="6059"/>
        </w:tabs>
        <w:spacing w:line="360" w:lineRule="auto"/>
        <w:jc w:val="both"/>
        <w:rPr>
          <w:rFonts w:ascii="Arial" w:hAnsi="Arial" w:cs="Arial"/>
          <w:sz w:val="24"/>
          <w:szCs w:val="24"/>
        </w:rPr>
      </w:pPr>
    </w:p>
    <w:p w14:paraId="518DB58A" w14:textId="77777777" w:rsidR="00E01CA0" w:rsidRPr="00BB53C0" w:rsidRDefault="00E01CA0" w:rsidP="00F517CA">
      <w:pPr>
        <w:tabs>
          <w:tab w:val="left" w:pos="6059"/>
        </w:tabs>
        <w:spacing w:line="360" w:lineRule="auto"/>
        <w:jc w:val="both"/>
        <w:rPr>
          <w:rFonts w:ascii="Arial" w:hAnsi="Arial" w:cs="Arial"/>
          <w:sz w:val="24"/>
          <w:szCs w:val="24"/>
        </w:rPr>
      </w:pPr>
      <w:r w:rsidRPr="00BB53C0">
        <w:rPr>
          <w:rFonts w:ascii="Arial" w:hAnsi="Arial" w:cs="Arial"/>
          <w:noProof/>
        </w:rPr>
        <w:drawing>
          <wp:inline distT="0" distB="0" distL="0" distR="0" wp14:anchorId="7A735637" wp14:editId="35BF6E19">
            <wp:extent cx="2164080" cy="1557655"/>
            <wp:effectExtent l="0" t="0" r="0" b="0"/>
            <wp:docPr id="4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3"/>
                    <pic:cNvPicPr>
                      <a:picLocks noChangeAspect="1" noChangeArrowheads="1"/>
                    </pic:cNvPicPr>
                  </pic:nvPicPr>
                  <pic:blipFill>
                    <a:blip r:embed="rId62"/>
                    <a:stretch>
                      <a:fillRect/>
                    </a:stretch>
                  </pic:blipFill>
                  <pic:spPr bwMode="auto">
                    <a:xfrm>
                      <a:off x="0" y="0"/>
                      <a:ext cx="2164080" cy="1557655"/>
                    </a:xfrm>
                    <a:prstGeom prst="rect">
                      <a:avLst/>
                    </a:prstGeom>
                  </pic:spPr>
                </pic:pic>
              </a:graphicData>
            </a:graphic>
          </wp:inline>
        </w:drawing>
      </w:r>
      <w:r w:rsidRPr="00BB53C0">
        <w:rPr>
          <w:rFonts w:ascii="Arial" w:hAnsi="Arial" w:cs="Arial"/>
          <w:sz w:val="24"/>
          <w:szCs w:val="24"/>
        </w:rPr>
        <w:t xml:space="preserve">                        </w:t>
      </w:r>
      <w:r w:rsidRPr="00BB53C0">
        <w:rPr>
          <w:rFonts w:ascii="Arial" w:hAnsi="Arial" w:cs="Arial"/>
          <w:noProof/>
        </w:rPr>
        <w:drawing>
          <wp:inline distT="0" distB="0" distL="0" distR="0" wp14:anchorId="0BEF8123" wp14:editId="7E39DD33">
            <wp:extent cx="2258060" cy="1475740"/>
            <wp:effectExtent l="0" t="0" r="0" b="0"/>
            <wp:docPr id="5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7"/>
                    <pic:cNvPicPr>
                      <a:picLocks noChangeAspect="1" noChangeArrowheads="1"/>
                    </pic:cNvPicPr>
                  </pic:nvPicPr>
                  <pic:blipFill>
                    <a:blip r:embed="rId63"/>
                    <a:stretch>
                      <a:fillRect/>
                    </a:stretch>
                  </pic:blipFill>
                  <pic:spPr bwMode="auto">
                    <a:xfrm>
                      <a:off x="0" y="0"/>
                      <a:ext cx="2258060" cy="1475740"/>
                    </a:xfrm>
                    <a:prstGeom prst="rect">
                      <a:avLst/>
                    </a:prstGeom>
                  </pic:spPr>
                </pic:pic>
              </a:graphicData>
            </a:graphic>
          </wp:inline>
        </w:drawing>
      </w:r>
    </w:p>
    <w:p w14:paraId="447A52DD" w14:textId="77777777" w:rsidR="00E01CA0" w:rsidRPr="00BB53C0" w:rsidRDefault="00E01CA0" w:rsidP="00E01CA0">
      <w:pPr>
        <w:tabs>
          <w:tab w:val="left" w:pos="6059"/>
        </w:tabs>
        <w:spacing w:line="240" w:lineRule="auto"/>
        <w:jc w:val="both"/>
        <w:rPr>
          <w:rFonts w:ascii="Arial" w:hAnsi="Arial" w:cs="Arial"/>
          <w:sz w:val="24"/>
          <w:szCs w:val="24"/>
        </w:rPr>
      </w:pPr>
    </w:p>
    <w:p w14:paraId="23C9B90F" w14:textId="77777777" w:rsidR="00E01CA0" w:rsidRPr="00BB53C0" w:rsidRDefault="00E01CA0" w:rsidP="00E01CA0">
      <w:pPr>
        <w:tabs>
          <w:tab w:val="left" w:pos="6059"/>
        </w:tabs>
        <w:spacing w:line="240" w:lineRule="auto"/>
        <w:jc w:val="both"/>
        <w:rPr>
          <w:rFonts w:ascii="Arial" w:hAnsi="Arial" w:cs="Arial"/>
          <w:sz w:val="24"/>
          <w:szCs w:val="24"/>
        </w:rPr>
      </w:pPr>
    </w:p>
    <w:p w14:paraId="0CCD46F3" w14:textId="77777777" w:rsidR="00E01CA0" w:rsidRPr="00BB53C0" w:rsidRDefault="00E01CA0" w:rsidP="00E01CA0">
      <w:pPr>
        <w:tabs>
          <w:tab w:val="left" w:pos="6059"/>
        </w:tabs>
        <w:spacing w:line="240" w:lineRule="auto"/>
        <w:jc w:val="both"/>
        <w:rPr>
          <w:rFonts w:ascii="Arial" w:hAnsi="Arial" w:cs="Arial"/>
          <w:sz w:val="24"/>
          <w:szCs w:val="24"/>
        </w:rPr>
      </w:pPr>
      <w:r w:rsidRPr="00BB53C0">
        <w:rPr>
          <w:rFonts w:ascii="Arial" w:hAnsi="Arial" w:cs="Arial"/>
          <w:noProof/>
        </w:rPr>
        <w:drawing>
          <wp:inline distT="0" distB="0" distL="0" distR="0" wp14:anchorId="0CE7E44B" wp14:editId="372DC0FA">
            <wp:extent cx="2382520" cy="1244600"/>
            <wp:effectExtent l="0" t="0" r="0" b="0"/>
            <wp:docPr id="5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64"/>
                    <a:stretch>
                      <a:fillRect/>
                    </a:stretch>
                  </pic:blipFill>
                  <pic:spPr bwMode="auto">
                    <a:xfrm>
                      <a:off x="0" y="0"/>
                      <a:ext cx="2382520" cy="1244600"/>
                    </a:xfrm>
                    <a:prstGeom prst="rect">
                      <a:avLst/>
                    </a:prstGeom>
                  </pic:spPr>
                </pic:pic>
              </a:graphicData>
            </a:graphic>
          </wp:inline>
        </w:drawing>
      </w:r>
      <w:r w:rsidRPr="00BB53C0">
        <w:rPr>
          <w:rFonts w:ascii="Arial" w:hAnsi="Arial" w:cs="Arial"/>
          <w:sz w:val="24"/>
          <w:szCs w:val="24"/>
        </w:rPr>
        <w:t xml:space="preserve">                    </w:t>
      </w:r>
      <w:r w:rsidRPr="00BB53C0">
        <w:rPr>
          <w:rFonts w:ascii="Arial" w:hAnsi="Arial" w:cs="Arial"/>
          <w:noProof/>
        </w:rPr>
        <w:drawing>
          <wp:inline distT="0" distB="0" distL="0" distR="0" wp14:anchorId="71510558" wp14:editId="4C46E898">
            <wp:extent cx="2176780" cy="1264920"/>
            <wp:effectExtent l="0" t="0" r="0" b="0"/>
            <wp:docPr id="5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noChangeArrowheads="1"/>
                    </pic:cNvPicPr>
                  </pic:nvPicPr>
                  <pic:blipFill>
                    <a:blip r:embed="rId65"/>
                    <a:stretch>
                      <a:fillRect/>
                    </a:stretch>
                  </pic:blipFill>
                  <pic:spPr bwMode="auto">
                    <a:xfrm>
                      <a:off x="0" y="0"/>
                      <a:ext cx="2176780" cy="1264920"/>
                    </a:xfrm>
                    <a:prstGeom prst="rect">
                      <a:avLst/>
                    </a:prstGeom>
                  </pic:spPr>
                </pic:pic>
              </a:graphicData>
            </a:graphic>
          </wp:inline>
        </w:drawing>
      </w:r>
    </w:p>
    <w:p w14:paraId="3A278B3B" w14:textId="77777777" w:rsidR="00E01CA0" w:rsidRPr="00BB53C0" w:rsidRDefault="00E01CA0" w:rsidP="00E01CA0">
      <w:pPr>
        <w:tabs>
          <w:tab w:val="left" w:pos="6059"/>
        </w:tabs>
        <w:spacing w:line="240" w:lineRule="auto"/>
        <w:jc w:val="both"/>
        <w:rPr>
          <w:rFonts w:ascii="Arial" w:hAnsi="Arial" w:cs="Arial"/>
          <w:sz w:val="24"/>
          <w:szCs w:val="24"/>
        </w:rPr>
      </w:pPr>
    </w:p>
    <w:p w14:paraId="1A151DB1" w14:textId="2B45C56F" w:rsidR="00E01CA0" w:rsidRPr="008D6AC5" w:rsidRDefault="00E01CA0" w:rsidP="00D77A62">
      <w:pPr>
        <w:pStyle w:val="Ttulo2"/>
        <w:numPr>
          <w:ilvl w:val="0"/>
          <w:numId w:val="0"/>
        </w:numPr>
        <w:tabs>
          <w:tab w:val="left" w:pos="6059"/>
        </w:tabs>
        <w:spacing w:after="160" w:line="240" w:lineRule="auto"/>
        <w:ind w:left="284"/>
        <w:rPr>
          <w:rFonts w:cs="Arial"/>
          <w:sz w:val="24"/>
          <w:szCs w:val="24"/>
        </w:rPr>
      </w:pPr>
      <w:r w:rsidRPr="008D6AC5">
        <w:rPr>
          <w:rFonts w:cs="Arial"/>
          <w:sz w:val="24"/>
          <w:szCs w:val="24"/>
        </w:rPr>
        <w:t>Acciones que permitieron la ampliación de cobertura y alcanzar los resultados estadísticos de Justicia Restaurativa.</w:t>
      </w:r>
    </w:p>
    <w:p w14:paraId="3720DF2D" w14:textId="77777777" w:rsidR="00E01CA0" w:rsidRPr="00BB53C0" w:rsidRDefault="00E01CA0" w:rsidP="00F517CA">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Conforme las funciones que estableció el Consejo Superior, la Dirección de Justicia Restaurativa de enero a octubre del 2020 dentro de sus principales actividades, desarrolló un total de 1.123 acciones, como se aprecia en el siguiente gráfico: </w:t>
      </w:r>
    </w:p>
    <w:p w14:paraId="031E8CF4" w14:textId="77777777" w:rsidR="00E01CA0" w:rsidRPr="00BB53C0" w:rsidRDefault="00E01CA0" w:rsidP="00E01CA0">
      <w:pPr>
        <w:tabs>
          <w:tab w:val="left" w:pos="6059"/>
        </w:tabs>
        <w:spacing w:line="240" w:lineRule="auto"/>
        <w:jc w:val="center"/>
        <w:rPr>
          <w:rFonts w:ascii="Arial" w:hAnsi="Arial" w:cs="Arial"/>
          <w:i/>
          <w:color w:val="4F81BD" w:themeColor="accent1"/>
        </w:rPr>
      </w:pPr>
      <w:r w:rsidRPr="00BB53C0">
        <w:rPr>
          <w:rFonts w:ascii="Arial" w:hAnsi="Arial" w:cs="Arial"/>
          <w:i/>
          <w:color w:val="4F81BD" w:themeColor="accent1"/>
        </w:rPr>
        <w:t>Gráfico N°1 Principales acciones realizadas por la Dirección Nacional de Justicia Restaurativa. Enero a octubre 2020.</w:t>
      </w:r>
    </w:p>
    <w:p w14:paraId="46122AAE" w14:textId="77777777" w:rsidR="00E01CA0" w:rsidRPr="00BB53C0" w:rsidRDefault="00E01CA0" w:rsidP="00E01CA0">
      <w:pPr>
        <w:tabs>
          <w:tab w:val="left" w:pos="6059"/>
        </w:tabs>
        <w:spacing w:line="240" w:lineRule="auto"/>
        <w:jc w:val="center"/>
        <w:rPr>
          <w:rFonts w:ascii="Arial" w:hAnsi="Arial" w:cs="Arial"/>
          <w:sz w:val="24"/>
          <w:szCs w:val="24"/>
        </w:rPr>
      </w:pPr>
      <w:r w:rsidRPr="00BB53C0">
        <w:rPr>
          <w:rFonts w:ascii="Arial" w:hAnsi="Arial" w:cs="Arial"/>
          <w:noProof/>
        </w:rPr>
        <w:drawing>
          <wp:inline distT="0" distB="0" distL="0" distR="0" wp14:anchorId="5755F126" wp14:editId="17112828">
            <wp:extent cx="5033010" cy="1885950"/>
            <wp:effectExtent l="0" t="0" r="0" b="0"/>
            <wp:docPr id="55"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3"/>
                    <pic:cNvPicPr>
                      <a:picLocks noChangeAspect="1" noChangeArrowheads="1"/>
                    </pic:cNvPicPr>
                  </pic:nvPicPr>
                  <pic:blipFill>
                    <a:blip r:embed="rId66"/>
                    <a:stretch>
                      <a:fillRect/>
                    </a:stretch>
                  </pic:blipFill>
                  <pic:spPr bwMode="auto">
                    <a:xfrm>
                      <a:off x="0" y="0"/>
                      <a:ext cx="5033010" cy="1885950"/>
                    </a:xfrm>
                    <a:prstGeom prst="rect">
                      <a:avLst/>
                    </a:prstGeom>
                    <a:ln w="9525">
                      <a:solidFill>
                        <a:srgbClr val="4472C4"/>
                      </a:solidFill>
                    </a:ln>
                  </pic:spPr>
                </pic:pic>
              </a:graphicData>
            </a:graphic>
          </wp:inline>
        </w:drawing>
      </w:r>
    </w:p>
    <w:p w14:paraId="41FC3E56"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La mayor cantidad de acciones son 355 que se agrupan en el seguimiento y atención de los equipos interdisciplinarios, donde la Dirección realiza su aporte técnico como personas profesionales en Derecho y expertas en Justicia Restaurativa; seguidas por 179 acciones administrativas, necesarias para el funcionamiento de cada una de las oficina de Justicia Restaurativa y apoyo a los equipos interdisciplinarios para que brinden un servicio público de calidad, sin dejar de lado el trabajo en equipo que se desarrolla desde la Dirección Nacional de Justicia Restaurativa. </w:t>
      </w:r>
    </w:p>
    <w:p w14:paraId="04F05405"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Después se encuentran las 129 acciones de cooperación internacional, lo que denota que los proyectos siguieron su marcha, contribuyendo a los objetivos del año 2020. Se tienen 119 relacionadas con coordinaciones institucionales, forma de trabajo que caracteriza a Justicia Restaurativa para conseguir la mejor atención para las personas usuarias. </w:t>
      </w:r>
    </w:p>
    <w:p w14:paraId="12D3F114"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En quinto lugar se tienen 114 acciones correspondientes a divulgación, para promover la utilización de los procesos restaurativos. Con 60 acciones se ubica lo referente a capacitación, de suma importancia en la implementación que establece la Ley de Justicia Restaurativa. </w:t>
      </w:r>
    </w:p>
    <w:p w14:paraId="67D434A6"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Luego se encuentran 58 acciones de construcción de instrumentos, que fueron medulares para la reorganización del servicio en tiempos de pandemia. Con la misma cantidad de 58 acciones, se ubican las coordinaciones interinstitucionales, que denotan la interacción con otras instancias externas al Poder Judicial para poder generar mayor equidad en las personas usuarias y una atención integral que se refleja en la satisfacción del servicio brindado. </w:t>
      </w:r>
    </w:p>
    <w:p w14:paraId="52F4C0D6"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Finalmente se observan con 31 acciones la Proyección Internacional y con 20 la proyección a la comunidad.</w:t>
      </w:r>
    </w:p>
    <w:p w14:paraId="1296A73D"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A continuación se presentan de forma más detallada las acciones más relevantes que se reflejan en el gráfico anteriormente expuesto: </w:t>
      </w:r>
    </w:p>
    <w:p w14:paraId="389A8C4D" w14:textId="77777777" w:rsidR="00E01CA0" w:rsidRPr="00BB53C0" w:rsidRDefault="00E01CA0" w:rsidP="008D6AC5">
      <w:pPr>
        <w:tabs>
          <w:tab w:val="left" w:pos="6059"/>
        </w:tabs>
        <w:spacing w:line="360" w:lineRule="auto"/>
        <w:jc w:val="both"/>
        <w:rPr>
          <w:rFonts w:ascii="Arial" w:hAnsi="Arial" w:cs="Arial"/>
          <w:sz w:val="24"/>
          <w:szCs w:val="24"/>
        </w:rPr>
      </w:pPr>
    </w:p>
    <w:p w14:paraId="1C054835" w14:textId="77777777" w:rsidR="00E01CA0" w:rsidRPr="00BB53C0" w:rsidRDefault="00E01CA0" w:rsidP="00C10ACE">
      <w:pPr>
        <w:pStyle w:val="Prrafodelista"/>
        <w:numPr>
          <w:ilvl w:val="0"/>
          <w:numId w:val="17"/>
        </w:numPr>
        <w:tabs>
          <w:tab w:val="left" w:pos="6059"/>
        </w:tabs>
        <w:spacing w:after="160" w:line="360" w:lineRule="auto"/>
        <w:jc w:val="both"/>
        <w:rPr>
          <w:rFonts w:ascii="Arial" w:hAnsi="Arial" w:cs="Arial"/>
          <w:b/>
          <w:sz w:val="24"/>
          <w:szCs w:val="24"/>
        </w:rPr>
      </w:pPr>
      <w:r w:rsidRPr="00BB53C0">
        <w:rPr>
          <w:rFonts w:ascii="Arial" w:hAnsi="Arial" w:cs="Arial"/>
          <w:b/>
          <w:sz w:val="24"/>
          <w:szCs w:val="24"/>
        </w:rPr>
        <w:t xml:space="preserve">Atención y seguimiento de equipos, creación de instrumentos, así como funciones administrativas. </w:t>
      </w:r>
    </w:p>
    <w:p w14:paraId="11AFD1C1"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Se tuvo la oportunidad de realizar visitas a las oficinas de Justicia Restaurativa para un total de 8, sin embargo se implementó con gran aceptación la virtualidad, y comunicación telefónica o por correo electrónico. Lo que permitió una respuesta más oportuna, sin desplazamiento y con ahorro de tiempo así como recursos económicos institucionales.</w:t>
      </w:r>
    </w:p>
    <w:p w14:paraId="210E8AF1"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La atención y seguimiento de equipos interdisciplinarios es de las principales funciones que desarrolla la Dirección Nacional de Justicia Restaurativa, labor que se encuentra a cargo de sus profesionales en Derecho. El análisis, de la información que se obtiene en las comunicaciones constantes, informes estadísticos, encuestas de satisfacción de personas usuarias, actividades de trabajo con equipos interdisciplinarios y vistas que se realizaron, dieron pie al establecimiento de estrategias consensuadas con el Ministerio Público, la Defensa Pública y el Departamento de Trabajo Social y Psicología, para mejorar cada día el servicio público que se brinda, para mantener el nivel de satisfacción del año 2019, que fue de un 97%.</w:t>
      </w:r>
    </w:p>
    <w:p w14:paraId="45F5115F"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Durante el año 2020 se construyeron nuevos instrumentos de actuación, con el objetivo claro de un mayor acceso a los procesos restaurativos. Por ejemplo se aprobó el protocolo de Justicia Juvenil Restaurativa con la policía judicial; el protocolo de inserción sociolaboral de justicia juvenil restaurativa, y siempre en materia juvenil la matriz de análisis de riesgos como apoyo en la elaboración de planes reparadores más efectivos para la inserción de las personas menores de edad, todos ellos en el marco del Proyecto financiado por la Embajada de los Estados Unidos en Costa Rica. </w:t>
      </w:r>
    </w:p>
    <w:p w14:paraId="65A850D6"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En materia penal, se tienen las coordinaciones de hojas de ruta con la Procuraduría General de la República y con el Instituto Costarricense de Seguros, que buscan una atención mucho más ágil y coordinada para la resolución de asuntos penales. Además el protocolo de contravenciones sin presencia de defensa técnica, para ampliar el rango de atención restaurativa. </w:t>
      </w:r>
    </w:p>
    <w:p w14:paraId="05320E18"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Finalmente los lineamientos de virtualidad que se implementaron en el mes de abril del 2020 y que fueron actualizados en el mes de noviembre del presente año, que permitieron incursionar, innovar e implementar de una forma más segura para evitar el contagio de la COVID-19, las nuevas formas de realizar diligencias y audiencias restaurativas por medios virtuales. </w:t>
      </w:r>
    </w:p>
    <w:p w14:paraId="6C5354DB"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No se pueden dejar de lado las acciones administrativas indispensables en toda organización, y con mucho más razón para la implementación a nivel nacional de la Ley de Justicia Restaurativa, lo que implicó ubicación de espacio físico, la conectividad y el equipo tecnológico indispensable, entre otras, para el funcionamiento de la Justicia Restaurativa en los nuevos Circuitos Judiciales.</w:t>
      </w:r>
    </w:p>
    <w:p w14:paraId="53EB40DB"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Propiamente en la Dirección Nacional de Justicia Restaurativa, se implementó el Sistema Integrado de Comunicación Electrónica (SICE), el Sistema Especifico de Valoración de Riesgos (SEVRI), la Evaluación de Desempeño, se cumplió con los controles electrónicos para el seguimiento de las modalidades de trabajo ante la Pandemia, la reorganización del personal, así como la adaptabilidad a la virtualidad para el desarrollo normal de las labores que en ningún momento se interrumpió durante este 2020.</w:t>
      </w:r>
    </w:p>
    <w:p w14:paraId="0323EF99" w14:textId="77777777" w:rsidR="00E01CA0" w:rsidRPr="00BB53C0" w:rsidRDefault="00E01CA0" w:rsidP="008D6AC5">
      <w:pPr>
        <w:pStyle w:val="Prrafodelista"/>
        <w:tabs>
          <w:tab w:val="left" w:pos="6059"/>
        </w:tabs>
        <w:spacing w:line="360" w:lineRule="auto"/>
        <w:jc w:val="both"/>
        <w:rPr>
          <w:rFonts w:ascii="Arial" w:hAnsi="Arial" w:cs="Arial"/>
          <w:b/>
          <w:sz w:val="24"/>
          <w:szCs w:val="24"/>
        </w:rPr>
      </w:pPr>
    </w:p>
    <w:p w14:paraId="14AB727D" w14:textId="77777777" w:rsidR="00E01CA0" w:rsidRPr="00BB53C0" w:rsidRDefault="00E01CA0" w:rsidP="00C10ACE">
      <w:pPr>
        <w:pStyle w:val="Prrafodelista"/>
        <w:numPr>
          <w:ilvl w:val="0"/>
          <w:numId w:val="17"/>
        </w:numPr>
        <w:tabs>
          <w:tab w:val="left" w:pos="6059"/>
        </w:tabs>
        <w:spacing w:after="160" w:line="360" w:lineRule="auto"/>
        <w:jc w:val="both"/>
        <w:rPr>
          <w:rFonts w:ascii="Arial" w:hAnsi="Arial" w:cs="Arial"/>
          <w:b/>
          <w:sz w:val="24"/>
          <w:szCs w:val="24"/>
        </w:rPr>
      </w:pPr>
      <w:r w:rsidRPr="00BB53C0">
        <w:rPr>
          <w:rFonts w:ascii="Arial" w:hAnsi="Arial" w:cs="Arial"/>
          <w:b/>
          <w:sz w:val="24"/>
          <w:szCs w:val="24"/>
        </w:rPr>
        <w:t xml:space="preserve">Capacitación. </w:t>
      </w:r>
    </w:p>
    <w:p w14:paraId="1053D7D8"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La capacitación es indispensable para la implementación de la Ley de Justicia Restaurativa y la adecuada utilización de los instrumentos que se construyeron. Durante el año 2020 participaron de procesos de formación al menos 1.053 personas.</w:t>
      </w:r>
    </w:p>
    <w:p w14:paraId="7B8C26F2" w14:textId="77777777" w:rsidR="00E01CA0" w:rsidRPr="00BB53C0" w:rsidRDefault="00E01CA0" w:rsidP="008D6AC5">
      <w:pPr>
        <w:tabs>
          <w:tab w:val="left" w:pos="6059"/>
        </w:tabs>
        <w:spacing w:line="360" w:lineRule="auto"/>
        <w:jc w:val="both"/>
        <w:rPr>
          <w:rFonts w:ascii="Arial" w:hAnsi="Arial" w:cs="Arial"/>
          <w:sz w:val="24"/>
          <w:szCs w:val="24"/>
        </w:rPr>
      </w:pPr>
      <w:r w:rsidRPr="00BB53C0">
        <w:rPr>
          <w:rFonts w:ascii="Arial" w:hAnsi="Arial" w:cs="Arial"/>
          <w:sz w:val="24"/>
          <w:szCs w:val="24"/>
        </w:rPr>
        <w:t xml:space="preserve">Se rediseñaron las capacitaciones, se realizaron formaciones en modalidad virtual sincrónica o bimodal, para un total de 83 horas capacitación, impartidas por las profesionales de la Dirección Nacional de Justicia Restaurativa y un alcance de 566 personas capacitadas. </w:t>
      </w:r>
    </w:p>
    <w:p w14:paraId="4ABF1BEF" w14:textId="77777777" w:rsidR="00E01CA0" w:rsidRPr="00BB53C0" w:rsidRDefault="00E01CA0" w:rsidP="008D6AC5">
      <w:pPr>
        <w:tabs>
          <w:tab w:val="left" w:pos="6059"/>
        </w:tabs>
        <w:spacing w:line="360" w:lineRule="auto"/>
        <w:jc w:val="both"/>
        <w:rPr>
          <w:rFonts w:ascii="Arial" w:hAnsi="Arial" w:cs="Arial"/>
          <w:sz w:val="24"/>
          <w:szCs w:val="24"/>
          <w:highlight w:val="yellow"/>
        </w:rPr>
      </w:pPr>
      <w:r w:rsidRPr="00BB53C0">
        <w:rPr>
          <w:rFonts w:ascii="Arial" w:hAnsi="Arial" w:cs="Arial"/>
          <w:sz w:val="24"/>
          <w:szCs w:val="24"/>
        </w:rPr>
        <w:t xml:space="preserve">Desde la Escuela Judicial se trabajó con el apoyo de personas expertas en justicia restaurativa en el rediseño de las capacitaciones que se imparten de forma presencial y se realizó en 4 oportunidades el curso de Autoformación en Justicia Restaurativa, que es completamente virtual asincrónico, alcanzando la capacitación de 231 personas. </w:t>
      </w:r>
    </w:p>
    <w:p w14:paraId="209F69C8" w14:textId="69919E6C"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Se realizaron gestiones que permitieron a 8 personas de los </w:t>
      </w:r>
      <w:r w:rsidR="00210D92" w:rsidRPr="00BB53C0">
        <w:rPr>
          <w:rFonts w:ascii="Arial" w:hAnsi="Arial" w:cs="Arial"/>
          <w:sz w:val="24"/>
          <w:szCs w:val="24"/>
        </w:rPr>
        <w:t>equipos psicosociales</w:t>
      </w:r>
      <w:r w:rsidRPr="00BB53C0">
        <w:rPr>
          <w:rFonts w:ascii="Arial" w:hAnsi="Arial" w:cs="Arial"/>
          <w:sz w:val="24"/>
          <w:szCs w:val="24"/>
        </w:rPr>
        <w:t xml:space="preserve"> de Justicia Restaurativa, participar del congreso internacional de Justicia Restaurativa organizado por el Instituto Internacional de Prácticas Restaurativas, en México a inicios del mes de marzo, ello con el apoyo de Gestión Humana. </w:t>
      </w:r>
    </w:p>
    <w:p w14:paraId="1EA9DBD9" w14:textId="0FEF03E6"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Con el inicio de la pandemia, ante la necesidad de implementar la virtualidad en las audiencias, con el apoyo de la Escuela Judicial se capacitaron 3 personas en </w:t>
      </w:r>
      <w:r w:rsidRPr="00BB53C0">
        <w:rPr>
          <w:rFonts w:ascii="Arial" w:hAnsi="Arial" w:cs="Arial"/>
          <w:i/>
          <w:sz w:val="24"/>
          <w:szCs w:val="24"/>
        </w:rPr>
        <w:t>“El ABC de la resolución de conflictos a distancia</w:t>
      </w:r>
      <w:r w:rsidRPr="00BB53C0">
        <w:rPr>
          <w:rFonts w:ascii="Arial" w:hAnsi="Arial" w:cs="Arial"/>
          <w:sz w:val="24"/>
          <w:szCs w:val="24"/>
        </w:rPr>
        <w:t xml:space="preserve">” impartida por ODR </w:t>
      </w:r>
      <w:r w:rsidR="00210D92" w:rsidRPr="00BB53C0">
        <w:rPr>
          <w:rFonts w:ascii="Arial" w:hAnsi="Arial" w:cs="Arial"/>
          <w:sz w:val="24"/>
          <w:szCs w:val="24"/>
        </w:rPr>
        <w:t>Latinoamérica</w:t>
      </w:r>
      <w:r w:rsidRPr="00BB53C0">
        <w:rPr>
          <w:rFonts w:ascii="Arial" w:hAnsi="Arial" w:cs="Arial"/>
          <w:sz w:val="24"/>
          <w:szCs w:val="24"/>
        </w:rPr>
        <w:t xml:space="preserve">, para un total de 20 horas capacitación; también se desarrolló el Conversatorio </w:t>
      </w:r>
      <w:r w:rsidRPr="00BB53C0">
        <w:rPr>
          <w:rFonts w:ascii="Arial" w:hAnsi="Arial" w:cs="Arial"/>
          <w:i/>
          <w:sz w:val="24"/>
          <w:szCs w:val="24"/>
        </w:rPr>
        <w:t xml:space="preserve">“Mejores Prácticas y desafíos de Justicia Restaurativa en etapa de ejecución”, </w:t>
      </w:r>
      <w:r w:rsidRPr="00BB53C0">
        <w:rPr>
          <w:rFonts w:ascii="Arial" w:hAnsi="Arial" w:cs="Arial"/>
          <w:sz w:val="24"/>
          <w:szCs w:val="24"/>
        </w:rPr>
        <w:t>que contó con panelistas del Estado de México y Costa Rica, y una participación de poco más de 100 personas de diferentes países de la región. Además la Escuela Judicial desarrolló el conversatorio “</w:t>
      </w:r>
      <w:r w:rsidRPr="00BB53C0">
        <w:rPr>
          <w:rFonts w:ascii="Arial" w:hAnsi="Arial" w:cs="Arial"/>
          <w:i/>
          <w:sz w:val="24"/>
          <w:szCs w:val="24"/>
        </w:rPr>
        <w:t>Fortalecimiento de los Equipos de Justicia Restaurativa: Estrategias de Negociación en el manejo positivo del conflicto”</w:t>
      </w:r>
      <w:r w:rsidRPr="00BB53C0">
        <w:rPr>
          <w:rFonts w:ascii="Arial" w:hAnsi="Arial" w:cs="Arial"/>
          <w:sz w:val="24"/>
          <w:szCs w:val="24"/>
        </w:rPr>
        <w:t xml:space="preserve">, con la partición de 14 personas de los equipos interdisciplinarios de Justicia Restaurativa. </w:t>
      </w:r>
    </w:p>
    <w:p w14:paraId="7563E487" w14:textId="77777777"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Finalmente en el Congreso Internacional de Justicia Restaurativa, que organizó la Dirección de Justicia Restaurativa con el apoyo de la Escuela Judicial y la Dirección de Tecnología de la Información se certificó la participación de 131 personas.  </w:t>
      </w:r>
    </w:p>
    <w:p w14:paraId="144300F0" w14:textId="77777777"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      </w:t>
      </w:r>
    </w:p>
    <w:p w14:paraId="6987AE42" w14:textId="77777777" w:rsidR="00E01CA0" w:rsidRPr="00BB53C0" w:rsidRDefault="00E01CA0" w:rsidP="00C10ACE">
      <w:pPr>
        <w:pStyle w:val="Prrafodelista"/>
        <w:numPr>
          <w:ilvl w:val="0"/>
          <w:numId w:val="17"/>
        </w:numPr>
        <w:spacing w:after="0" w:line="360" w:lineRule="auto"/>
        <w:jc w:val="both"/>
        <w:rPr>
          <w:rFonts w:ascii="Arial" w:hAnsi="Arial" w:cs="Arial"/>
          <w:b/>
          <w:sz w:val="24"/>
          <w:szCs w:val="24"/>
        </w:rPr>
      </w:pPr>
      <w:r w:rsidRPr="00BB53C0">
        <w:rPr>
          <w:rFonts w:ascii="Arial" w:hAnsi="Arial" w:cs="Arial"/>
          <w:b/>
          <w:sz w:val="24"/>
          <w:szCs w:val="24"/>
        </w:rPr>
        <w:t>Divulgación y Proyección a la comunidad.</w:t>
      </w:r>
    </w:p>
    <w:p w14:paraId="1535073A" w14:textId="77777777" w:rsidR="00E01CA0" w:rsidRPr="00BB53C0" w:rsidRDefault="00E01CA0" w:rsidP="008D6AC5">
      <w:pPr>
        <w:spacing w:after="0" w:line="360" w:lineRule="auto"/>
        <w:jc w:val="both"/>
        <w:rPr>
          <w:rFonts w:ascii="Arial" w:hAnsi="Arial" w:cs="Arial"/>
          <w:sz w:val="24"/>
          <w:szCs w:val="24"/>
        </w:rPr>
      </w:pPr>
    </w:p>
    <w:p w14:paraId="2E62E91B" w14:textId="77777777"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La divulgación se convierte en una forma de comunicación con la comunidad, permite a las personas usuarias estar informadas de los servicios restaurativos, al igual que a personas funcionarias judiciales. Durante este año 2020, se realizaron actividades virtuales con una participación de 33 personas en total. </w:t>
      </w:r>
    </w:p>
    <w:p w14:paraId="23956AA8" w14:textId="77777777"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La campaña de Justicia Restaurativa, realizada en el año 2019 con el financiamiento de la Unión Europea, se colocó en todos los Circuitos Judiciales que atienden procesos restaurativos y se divulgó por medio del correo electrónico de Prensa y Comunicación Organizacional, así como en los monitores al ingreso de los edificios de Tribunales en los diferentes lugares del país. </w:t>
      </w:r>
    </w:p>
    <w:p w14:paraId="36296B33" w14:textId="77777777"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Con el apoyo de Prensa y Comunicación, se diseñó un panfleto con información general sobre Justicia Restaurativa. Desde la Dirección Nacional de Justicia Restaurativa, se confeccionó el folleto informativo de resultados 2019 de Justicia Penal Restaurativa, Justicia Juvenil Restaurativa y del Procedimiento de Tratamiento de Drogas bajo Supervisión Judicial Restaurativa, información que permite llegar a persona usuarias tanto en la meseta central, como hasta las zonas más alejada del país. </w:t>
      </w:r>
    </w:p>
    <w:p w14:paraId="6E0257E5" w14:textId="77777777" w:rsidR="00E01CA0" w:rsidRPr="00BB53C0" w:rsidRDefault="00E01CA0" w:rsidP="008D6AC5">
      <w:pPr>
        <w:tabs>
          <w:tab w:val="left" w:pos="3301"/>
        </w:tabs>
        <w:spacing w:line="360" w:lineRule="auto"/>
        <w:jc w:val="both"/>
        <w:rPr>
          <w:rFonts w:ascii="Arial" w:hAnsi="Arial" w:cs="Arial"/>
          <w:sz w:val="24"/>
          <w:szCs w:val="24"/>
        </w:rPr>
      </w:pPr>
      <w:r w:rsidRPr="00BB53C0">
        <w:rPr>
          <w:rFonts w:ascii="Arial" w:hAnsi="Arial" w:cs="Arial"/>
          <w:sz w:val="24"/>
          <w:szCs w:val="24"/>
        </w:rPr>
        <w:t xml:space="preserve">Utilizando las redes sociales entre enero y octubre del 2020, se realizaron 69 publicaciones por el Facebook, así como 8 notas de prensa. </w:t>
      </w:r>
    </w:p>
    <w:p w14:paraId="6AF2DA42"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La comunidad es indispensable para que se desarrollen procesos restaurativos, por eso se resalta la participación que posee en las Reuniones Restaurativas, que a raíz de la pandemia se potenció de manera virtual sincrónica, o bien por medio de videos que se confeccionaron con el liderazgo de los equipos psicosociales; así mismo su integración en la red de apoyo, a octubre del año 2020, con un total de 1.300 instituciones y organizaciones en materia juvenil y de 1.289 en penal, que permite a las personas usuarias el realizar horas de servicio comunitario, donaciones o bien recibir tratamiento o horas socioeducativas. Como por ejemplo en la fotografía: el cuadro que pintó la persona imputada para donar a una institución de su comunidad; así mismo donaciones de mascarillas, servicios de mensajería a hogares de ancianos, dar clases virtuales a personas en condición de vulnerabilidad de sus propias comunidades, entre otras condiciones innovadoras para poder realizar una reparación del daño y sin riesgos de contagio de la COVID-19.</w:t>
      </w:r>
    </w:p>
    <w:p w14:paraId="01AC0FBD"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noProof/>
          <w:sz w:val="24"/>
          <w:szCs w:val="24"/>
        </w:rPr>
        <w:drawing>
          <wp:anchor distT="0" distB="0" distL="114300" distR="114300" simplePos="0" relativeHeight="251694592" behindDoc="0" locked="0" layoutInCell="1" allowOverlap="1" wp14:anchorId="083E48D9" wp14:editId="587D56CA">
            <wp:simplePos x="0" y="0"/>
            <wp:positionH relativeFrom="column">
              <wp:posOffset>3699510</wp:posOffset>
            </wp:positionH>
            <wp:positionV relativeFrom="paragraph">
              <wp:posOffset>-1346835</wp:posOffset>
            </wp:positionV>
            <wp:extent cx="1877060" cy="2625090"/>
            <wp:effectExtent l="0" t="0" r="0" b="0"/>
            <wp:wrapSquare wrapText="bothSides"/>
            <wp:docPr id="60" name="Imagen5" descr="C:\Users\jcalderona\AppData\Local\Temp\Entrega Obra de arte Escuela Enseñanza Espe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5" descr="C:\Users\jcalderona\AppData\Local\Temp\Entrega Obra de arte Escuela Enseñanza Especial.jpg"/>
                    <pic:cNvPicPr>
                      <a:picLocks noChangeAspect="1" noChangeArrowheads="1"/>
                    </pic:cNvPicPr>
                  </pic:nvPicPr>
                  <pic:blipFill>
                    <a:blip r:embed="rId67"/>
                    <a:stretch>
                      <a:fillRect/>
                    </a:stretch>
                  </pic:blipFill>
                  <pic:spPr bwMode="auto">
                    <a:xfrm>
                      <a:off x="0" y="0"/>
                      <a:ext cx="1877060" cy="2625090"/>
                    </a:xfrm>
                    <a:prstGeom prst="rect">
                      <a:avLst/>
                    </a:prstGeom>
                  </pic:spPr>
                </pic:pic>
              </a:graphicData>
            </a:graphic>
          </wp:anchor>
        </w:drawing>
      </w:r>
    </w:p>
    <w:p w14:paraId="40E47F94"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 xml:space="preserve"> </w:t>
      </w:r>
    </w:p>
    <w:p w14:paraId="18FF3A45" w14:textId="77777777" w:rsidR="00E01CA0" w:rsidRPr="00BB53C0" w:rsidRDefault="00E01CA0" w:rsidP="008D6AC5">
      <w:pPr>
        <w:spacing w:after="0" w:line="360" w:lineRule="auto"/>
        <w:jc w:val="both"/>
        <w:rPr>
          <w:rFonts w:ascii="Arial" w:hAnsi="Arial" w:cs="Arial"/>
          <w:sz w:val="24"/>
          <w:szCs w:val="24"/>
        </w:rPr>
      </w:pPr>
    </w:p>
    <w:p w14:paraId="126B29F5" w14:textId="77777777" w:rsidR="00E01CA0" w:rsidRPr="00BB53C0" w:rsidRDefault="00E01CA0" w:rsidP="008D6AC5">
      <w:pPr>
        <w:spacing w:after="0" w:line="360" w:lineRule="auto"/>
        <w:jc w:val="both"/>
        <w:rPr>
          <w:rFonts w:ascii="Arial" w:hAnsi="Arial" w:cs="Arial"/>
          <w:sz w:val="24"/>
          <w:szCs w:val="24"/>
        </w:rPr>
      </w:pPr>
    </w:p>
    <w:p w14:paraId="34355B05" w14:textId="77777777" w:rsidR="00E01CA0" w:rsidRPr="00BB53C0" w:rsidRDefault="00E01CA0" w:rsidP="00C10ACE">
      <w:pPr>
        <w:pStyle w:val="Prrafodelista"/>
        <w:numPr>
          <w:ilvl w:val="0"/>
          <w:numId w:val="17"/>
        </w:numPr>
        <w:spacing w:after="160" w:line="360" w:lineRule="auto"/>
        <w:jc w:val="both"/>
        <w:rPr>
          <w:rFonts w:ascii="Arial" w:hAnsi="Arial" w:cs="Arial"/>
          <w:b/>
          <w:sz w:val="24"/>
          <w:szCs w:val="24"/>
        </w:rPr>
      </w:pPr>
      <w:r w:rsidRPr="00BB53C0">
        <w:rPr>
          <w:rFonts w:ascii="Arial" w:hAnsi="Arial" w:cs="Arial"/>
          <w:b/>
          <w:sz w:val="24"/>
          <w:szCs w:val="24"/>
        </w:rPr>
        <w:t xml:space="preserve">Coordinaciones Institucionales e Interinstitucionales. </w:t>
      </w:r>
    </w:p>
    <w:p w14:paraId="7DF19F70"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El trabajo en Justicia Restaurativa es interdisciplinario y busca dar una respuesta integral a las personas usuarias de la administración de justicia, lo que sin duda implica la interacción a lo interno y externo del Poder Judicial. Durante el año 2020, se realizaron al menos 57 sesiones de trabajo con otros despachos del Poder Judicial, mientras que se llevaron a cabo 42 encuentros con Jerarcas o coordinaciones del Ministerio Público, Defensa Pública y Departamento de Trabajo Social y Psicología.</w:t>
      </w:r>
    </w:p>
    <w:p w14:paraId="397E769C"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Justicia Restaurativa es el Rector de la Política Pública de Justicia Juvenil Restaurativa en el Poder Judicial, en total coordinación con el Viceministerio de Justicia y Paz que ejerce la rectoría en el Poder Ejecutivo; Política Pública que es producto de la cooperación internacional de EuroSocial en el año 2015 y cuyo plan de acción finaliza en el año 2021. Durante este año 2020 entre las principales acciones de la Política se logró una interacción con las Casas de Justicia a nivel nacional, para lograr la implementación del proceso de desjudicialización que señala la Ley de Justicia Restaurativa.   </w:t>
      </w:r>
    </w:p>
    <w:p w14:paraId="4399204E"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Desde Justicia Restaurativa, se participó en 15 sesiones de las diferentes comisiones institucionales que se integran, donde se resaltan los siguientes aportes:  </w:t>
      </w:r>
    </w:p>
    <w:p w14:paraId="64791DCF" w14:textId="30E5F968" w:rsidR="00E01CA0" w:rsidRPr="00BB53C0" w:rsidRDefault="00E01CA0" w:rsidP="00C10ACE">
      <w:pPr>
        <w:pStyle w:val="Prrafodelista"/>
        <w:numPr>
          <w:ilvl w:val="0"/>
          <w:numId w:val="17"/>
        </w:numPr>
        <w:spacing w:after="160" w:line="360" w:lineRule="auto"/>
        <w:jc w:val="both"/>
        <w:rPr>
          <w:rFonts w:ascii="Arial" w:hAnsi="Arial" w:cs="Arial"/>
          <w:sz w:val="24"/>
          <w:szCs w:val="24"/>
        </w:rPr>
      </w:pPr>
      <w:r w:rsidRPr="00BB53C0">
        <w:rPr>
          <w:rFonts w:ascii="Arial" w:hAnsi="Arial" w:cs="Arial"/>
          <w:sz w:val="24"/>
          <w:szCs w:val="24"/>
        </w:rPr>
        <w:t xml:space="preserve">En la Comisión de Resolución Alterna de Conflictos (RAC), se </w:t>
      </w:r>
      <w:r w:rsidR="00210D92" w:rsidRPr="00BB53C0">
        <w:rPr>
          <w:rFonts w:ascii="Arial" w:hAnsi="Arial" w:cs="Arial"/>
          <w:sz w:val="24"/>
          <w:szCs w:val="24"/>
        </w:rPr>
        <w:t>trabajó en</w:t>
      </w:r>
      <w:r w:rsidRPr="00BB53C0">
        <w:rPr>
          <w:rFonts w:ascii="Arial" w:hAnsi="Arial" w:cs="Arial"/>
          <w:sz w:val="24"/>
          <w:szCs w:val="24"/>
        </w:rPr>
        <w:t xml:space="preserve"> la confección del protocolo para la atención virtual que brindan las personas juzgadoras RAC en Justicia Restaurativa. </w:t>
      </w:r>
    </w:p>
    <w:p w14:paraId="1579875C" w14:textId="77777777" w:rsidR="00E01CA0" w:rsidRPr="00BB53C0" w:rsidRDefault="00E01CA0" w:rsidP="00C10ACE">
      <w:pPr>
        <w:pStyle w:val="Prrafodelista"/>
        <w:numPr>
          <w:ilvl w:val="0"/>
          <w:numId w:val="17"/>
        </w:numPr>
        <w:spacing w:after="160" w:line="360" w:lineRule="auto"/>
        <w:jc w:val="both"/>
        <w:rPr>
          <w:rFonts w:ascii="Arial" w:hAnsi="Arial" w:cs="Arial"/>
          <w:sz w:val="24"/>
          <w:szCs w:val="24"/>
        </w:rPr>
      </w:pPr>
      <w:r w:rsidRPr="00BB53C0">
        <w:rPr>
          <w:rFonts w:ascii="Arial" w:hAnsi="Arial" w:cs="Arial"/>
          <w:sz w:val="24"/>
          <w:szCs w:val="24"/>
        </w:rPr>
        <w:t xml:space="preserve">En la Subcomisión de Acceso a la Justicia de Pueblos Indígenas, se desarrolla un trabajo conjunto para consolidar la cosmovisión indígena en los asuntos donde son parte personas de pueblos originarios, con una atención en este año 2020 de 1 asunto en Turrialba y 4 asuntos en Buenos Aires, en Justicia Penal Restaurativa. </w:t>
      </w:r>
    </w:p>
    <w:p w14:paraId="724AA33E" w14:textId="77777777" w:rsidR="00E01CA0" w:rsidRPr="00BB53C0" w:rsidRDefault="00E01CA0" w:rsidP="00C10ACE">
      <w:pPr>
        <w:pStyle w:val="Prrafodelista"/>
        <w:numPr>
          <w:ilvl w:val="0"/>
          <w:numId w:val="17"/>
        </w:numPr>
        <w:spacing w:after="160" w:line="360" w:lineRule="auto"/>
        <w:jc w:val="both"/>
        <w:rPr>
          <w:rFonts w:ascii="Arial" w:hAnsi="Arial" w:cs="Arial"/>
          <w:sz w:val="24"/>
          <w:szCs w:val="24"/>
        </w:rPr>
      </w:pPr>
      <w:r w:rsidRPr="00BB53C0">
        <w:rPr>
          <w:rFonts w:ascii="Arial" w:hAnsi="Arial" w:cs="Arial"/>
          <w:sz w:val="24"/>
          <w:szCs w:val="24"/>
        </w:rPr>
        <w:t xml:space="preserve">En la Comisión de ética y valores, se divulga e impulsan los procesos para el Bienestar Integral del Personal Judicial. </w:t>
      </w:r>
    </w:p>
    <w:p w14:paraId="34658506" w14:textId="77777777" w:rsidR="00E01CA0" w:rsidRPr="00BB53C0" w:rsidRDefault="00E01CA0" w:rsidP="00C10ACE">
      <w:pPr>
        <w:pStyle w:val="Prrafodelista"/>
        <w:numPr>
          <w:ilvl w:val="0"/>
          <w:numId w:val="17"/>
        </w:numPr>
        <w:spacing w:after="160" w:line="360" w:lineRule="auto"/>
        <w:jc w:val="both"/>
        <w:rPr>
          <w:rFonts w:ascii="Arial" w:hAnsi="Arial" w:cs="Arial"/>
          <w:sz w:val="24"/>
          <w:szCs w:val="24"/>
        </w:rPr>
      </w:pPr>
      <w:r w:rsidRPr="00BB53C0">
        <w:rPr>
          <w:rFonts w:ascii="Arial" w:hAnsi="Arial" w:cs="Arial"/>
          <w:sz w:val="24"/>
          <w:szCs w:val="24"/>
        </w:rPr>
        <w:t xml:space="preserve">En la Comisión de Justicia Abierta, se participa del plan de acción de la Política Publica de Justicia Abierta, específicamente con el Proyecto de Justicia Restaurativa para el bienestar integral del personal judicial, cuyos resultados se exponen en un apartado del presente informe.   </w:t>
      </w:r>
    </w:p>
    <w:p w14:paraId="35AD08A1"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En el espacio interinstitucional, se es invitado en el Consejo Nacional de Niñez y Adolescencia, espacio de interacción que permite conocer acciones pertinentes para Justicia Juvenil Restaurativa, en este año se contó con un directorio de iniciativas ante las dificultades de la COVID-19 enfocado a la atención de personas menores de edad, las que fueron conocidas por los equipos interdisciplinarios de Justicia Juvenil Restaurativa para su integración en planes restaurativos, por ejemplo horas socioeducativas en modalidad virtual dirigidas a personas menores de edad.  </w:t>
      </w:r>
    </w:p>
    <w:p w14:paraId="4A30CCF9"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Para la implementación de los procesos restaurativos en fase de ejecución, se tiene una coordinación constante con el Ministerio de Justicia. En penal, propiamente con la unidad de Monitoreo Electrónico, donde se han realizado al menos 5 sesiones de trabajo desde la Dirección y 1 mensual por parte del equipo psicosocial de Justicia Penal Restaurativa encargado de esta materia. En penal juvenil las sesiones de trabajo se realizan con el Programa de Sanciones Penales Juveniles, al menos en 6 ocasiones.</w:t>
      </w:r>
    </w:p>
    <w:p w14:paraId="4D34470B" w14:textId="2FBF7229" w:rsidR="00E01CA0" w:rsidRPr="00BB53C0" w:rsidRDefault="00E01CA0" w:rsidP="008D6AC5">
      <w:pPr>
        <w:spacing w:line="360" w:lineRule="auto"/>
        <w:jc w:val="both"/>
        <w:rPr>
          <w:rFonts w:ascii="Arial" w:hAnsi="Arial" w:cs="Arial"/>
          <w:sz w:val="24"/>
          <w:szCs w:val="24"/>
        </w:rPr>
      </w:pPr>
      <w:r w:rsidRPr="00BB53C0">
        <w:rPr>
          <w:rFonts w:ascii="Arial" w:hAnsi="Arial" w:cs="Arial"/>
          <w:noProof/>
        </w:rPr>
        <w:drawing>
          <wp:anchor distT="0" distB="0" distL="114300" distR="114300" simplePos="0" relativeHeight="251693568" behindDoc="1" locked="0" layoutInCell="1" allowOverlap="1" wp14:anchorId="5B7778CB" wp14:editId="1161F5CA">
            <wp:simplePos x="0" y="0"/>
            <wp:positionH relativeFrom="margin">
              <wp:posOffset>2157095</wp:posOffset>
            </wp:positionH>
            <wp:positionV relativeFrom="paragraph">
              <wp:posOffset>53340</wp:posOffset>
            </wp:positionV>
            <wp:extent cx="3441065" cy="2172335"/>
            <wp:effectExtent l="0" t="0" r="0" b="0"/>
            <wp:wrapSquare wrapText="bothSides"/>
            <wp:docPr id="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pic:cNvPicPr>
                      <a:picLocks noChangeAspect="1" noChangeArrowheads="1"/>
                    </pic:cNvPicPr>
                  </pic:nvPicPr>
                  <pic:blipFill>
                    <a:blip r:embed="rId68"/>
                    <a:stretch>
                      <a:fillRect/>
                    </a:stretch>
                  </pic:blipFill>
                  <pic:spPr bwMode="auto">
                    <a:xfrm>
                      <a:off x="0" y="0"/>
                      <a:ext cx="3441065" cy="2172335"/>
                    </a:xfrm>
                    <a:prstGeom prst="rect">
                      <a:avLst/>
                    </a:prstGeom>
                  </pic:spPr>
                </pic:pic>
              </a:graphicData>
            </a:graphic>
          </wp:anchor>
        </w:drawing>
      </w:r>
      <w:r w:rsidRPr="00BB53C0">
        <w:rPr>
          <w:rFonts w:ascii="Arial" w:hAnsi="Arial" w:cs="Arial"/>
          <w:sz w:val="24"/>
          <w:szCs w:val="24"/>
        </w:rPr>
        <w:t xml:space="preserve">Relacionado con el Procedimiento de Tratamiento de Drogas bajo Supervisión Judicial (PTDJ), se integra la Comisión Nacional de Prevención y Atención Integral del Consumo de Sustancias Psicoactivas en Personas Menores de </w:t>
      </w:r>
      <w:r w:rsidR="005F7288" w:rsidRPr="00BB53C0">
        <w:rPr>
          <w:rFonts w:ascii="Arial" w:hAnsi="Arial" w:cs="Arial"/>
          <w:sz w:val="24"/>
          <w:szCs w:val="24"/>
        </w:rPr>
        <w:t>Edad (</w:t>
      </w:r>
      <w:r w:rsidRPr="00BB53C0">
        <w:rPr>
          <w:rFonts w:ascii="Arial" w:hAnsi="Arial" w:cs="Arial"/>
          <w:sz w:val="24"/>
          <w:szCs w:val="24"/>
        </w:rPr>
        <w:t xml:space="preserve">CONASPE), además se realizan sesiones de trabajo y reuniones de jerarcas del Instituto sobre Alcoholismo y Farmacodependencia (IAFA) y del Instituto Costarricense sobre Drogas (ICD) para la buena marcha del PTDJ. En este año 2020 se obtuvo la ampliación que se señala al inició del informe y además la graduación de 5 personas adultas del Procedimiento de Tratamiento de Drogas bajo supervisión judicial restaurativo. Transformando la vida de personas, que pasan de vivir en la calle, cometer ilícitos, a mejorar su salud, integrarse con sus familias, estudiar y hasta obtener un trabajo. </w:t>
      </w:r>
    </w:p>
    <w:p w14:paraId="699661FC" w14:textId="77777777" w:rsidR="00E01CA0" w:rsidRPr="00BB53C0" w:rsidRDefault="00E01CA0" w:rsidP="008D6AC5">
      <w:pPr>
        <w:spacing w:line="360" w:lineRule="auto"/>
        <w:jc w:val="both"/>
        <w:rPr>
          <w:rFonts w:ascii="Arial" w:hAnsi="Arial" w:cs="Arial"/>
          <w:sz w:val="24"/>
          <w:szCs w:val="24"/>
        </w:rPr>
      </w:pPr>
    </w:p>
    <w:p w14:paraId="4939FD74" w14:textId="77777777" w:rsidR="00E01CA0" w:rsidRPr="00BB53C0" w:rsidRDefault="00E01CA0" w:rsidP="00C10ACE">
      <w:pPr>
        <w:pStyle w:val="Prrafodelista"/>
        <w:numPr>
          <w:ilvl w:val="0"/>
          <w:numId w:val="17"/>
        </w:numPr>
        <w:spacing w:after="160" w:line="360" w:lineRule="auto"/>
        <w:rPr>
          <w:rFonts w:ascii="Arial" w:hAnsi="Arial" w:cs="Arial"/>
          <w:b/>
          <w:sz w:val="24"/>
          <w:szCs w:val="24"/>
        </w:rPr>
      </w:pPr>
      <w:r w:rsidRPr="00BB53C0">
        <w:rPr>
          <w:rFonts w:ascii="Arial" w:hAnsi="Arial" w:cs="Arial"/>
          <w:b/>
          <w:sz w:val="24"/>
          <w:szCs w:val="24"/>
        </w:rPr>
        <w:t xml:space="preserve">Proyección internacional </w:t>
      </w:r>
    </w:p>
    <w:p w14:paraId="50BD1D1D"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noProof/>
        </w:rPr>
        <w:drawing>
          <wp:anchor distT="0" distB="0" distL="114300" distR="114300" simplePos="0" relativeHeight="251695616" behindDoc="0" locked="0" layoutInCell="1" allowOverlap="1" wp14:anchorId="761F0B64" wp14:editId="2004E055">
            <wp:simplePos x="0" y="0"/>
            <wp:positionH relativeFrom="margin">
              <wp:posOffset>2538095</wp:posOffset>
            </wp:positionH>
            <wp:positionV relativeFrom="paragraph">
              <wp:posOffset>25400</wp:posOffset>
            </wp:positionV>
            <wp:extent cx="3084195" cy="2312670"/>
            <wp:effectExtent l="0" t="0" r="0" b="0"/>
            <wp:wrapTight wrapText="bothSides">
              <wp:wrapPolygon edited="0">
                <wp:start x="-159" y="0"/>
                <wp:lineTo x="-159" y="21320"/>
                <wp:lineTo x="21609" y="21320"/>
                <wp:lineTo x="21609" y="0"/>
                <wp:lineTo x="-159" y="0"/>
              </wp:wrapPolygon>
            </wp:wrapTight>
            <wp:docPr id="62"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6"/>
                    <pic:cNvPicPr>
                      <a:picLocks noChangeAspect="1" noChangeArrowheads="1"/>
                    </pic:cNvPicPr>
                  </pic:nvPicPr>
                  <pic:blipFill>
                    <a:blip r:embed="rId69"/>
                    <a:stretch>
                      <a:fillRect/>
                    </a:stretch>
                  </pic:blipFill>
                  <pic:spPr bwMode="auto">
                    <a:xfrm>
                      <a:off x="0" y="0"/>
                      <a:ext cx="3084195" cy="2312670"/>
                    </a:xfrm>
                    <a:prstGeom prst="rect">
                      <a:avLst/>
                    </a:prstGeom>
                  </pic:spPr>
                </pic:pic>
              </a:graphicData>
            </a:graphic>
          </wp:anchor>
        </w:drawing>
      </w:r>
      <w:r w:rsidRPr="00BB53C0">
        <w:rPr>
          <w:rFonts w:ascii="Arial" w:hAnsi="Arial" w:cs="Arial"/>
          <w:sz w:val="24"/>
          <w:szCs w:val="24"/>
        </w:rPr>
        <w:t xml:space="preserve">El Poder Judicial de Costa Rica destaca por ser un referente a nivel de la región en Justicia Restaurativa, lo cual es beneficioso porque promueve los intercambios internacionales que permiten adquirir nuevos conocimiento y buenas prácticas que se llegan a implementar en los procesos costarricenses, adicionalmente eso permite la sostenibilidad y consolidación en la implementación de los procesos restaurativos, que generan confianza en los cooperantes internacionales, obteniendo fondos para continuar la promoción y ampliación que exige la Ley de Justicia Restaurativa. </w:t>
      </w:r>
    </w:p>
    <w:p w14:paraId="0212B070"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En el año 2020 se realizaron al menos 12 participaciones como conferencistas a nivel internacional, las de los primeros meses de forma presencial y todas las demás aprovechando la tecnología, se dieron en modalidad virtual, como se muestra en la siguiente tabla: </w:t>
      </w:r>
    </w:p>
    <w:p w14:paraId="2207766E" w14:textId="77777777" w:rsidR="00E01CA0" w:rsidRPr="00BB53C0" w:rsidRDefault="00E01CA0" w:rsidP="00E01CA0">
      <w:pPr>
        <w:spacing w:line="240" w:lineRule="auto"/>
        <w:jc w:val="center"/>
        <w:rPr>
          <w:rFonts w:ascii="Arial" w:hAnsi="Arial" w:cs="Arial"/>
          <w:i/>
          <w:color w:val="4F81BD" w:themeColor="accent1"/>
        </w:rPr>
      </w:pPr>
      <w:r w:rsidRPr="00BB53C0">
        <w:rPr>
          <w:rFonts w:ascii="Arial" w:hAnsi="Arial" w:cs="Arial"/>
          <w:i/>
          <w:color w:val="4F81BD" w:themeColor="accent1"/>
        </w:rPr>
        <w:t>Tabla N°4. Participaciones internacionales Justicia Restaurativa. 2020.</w:t>
      </w:r>
    </w:p>
    <w:tbl>
      <w:tblPr>
        <w:tblW w:w="8912" w:type="dxa"/>
        <w:tblInd w:w="-15" w:type="dxa"/>
        <w:tblLook w:val="0000" w:firstRow="0" w:lastRow="0" w:firstColumn="0" w:lastColumn="0" w:noHBand="0" w:noVBand="0"/>
      </w:tblPr>
      <w:tblGrid>
        <w:gridCol w:w="4856"/>
        <w:gridCol w:w="1134"/>
        <w:gridCol w:w="1275"/>
        <w:gridCol w:w="1647"/>
      </w:tblGrid>
      <w:tr w:rsidR="00E01CA0" w:rsidRPr="00BB53C0" w14:paraId="3373EC52" w14:textId="77777777" w:rsidTr="00E01CA0">
        <w:trPr>
          <w:tblHeader/>
        </w:trPr>
        <w:tc>
          <w:tcPr>
            <w:tcW w:w="4942" w:type="dxa"/>
            <w:tcBorders>
              <w:top w:val="single" w:sz="4" w:space="0" w:color="000000"/>
              <w:left w:val="single" w:sz="4" w:space="0" w:color="000000"/>
              <w:bottom w:val="single" w:sz="4" w:space="0" w:color="000000"/>
            </w:tcBorders>
            <w:shd w:val="clear" w:color="auto" w:fill="4F81BD" w:themeFill="accent1"/>
          </w:tcPr>
          <w:p w14:paraId="13572738" w14:textId="77777777" w:rsidR="00E01CA0" w:rsidRPr="00BB53C0" w:rsidRDefault="00E01CA0" w:rsidP="00E01CA0">
            <w:pPr>
              <w:spacing w:after="0" w:line="240" w:lineRule="auto"/>
              <w:jc w:val="center"/>
              <w:rPr>
                <w:rFonts w:ascii="Arial" w:hAnsi="Arial" w:cs="Arial"/>
                <w:color w:val="FFFFFF" w:themeColor="background1"/>
                <w:sz w:val="18"/>
                <w:szCs w:val="18"/>
              </w:rPr>
            </w:pPr>
            <w:r w:rsidRPr="00BB53C0">
              <w:rPr>
                <w:rFonts w:ascii="Arial" w:hAnsi="Arial" w:cs="Arial"/>
                <w:b/>
                <w:color w:val="FFFFFF" w:themeColor="background1"/>
                <w:sz w:val="18"/>
                <w:szCs w:val="18"/>
              </w:rPr>
              <w:t>Actividad</w:t>
            </w:r>
          </w:p>
        </w:tc>
        <w:tc>
          <w:tcPr>
            <w:tcW w:w="1135" w:type="dxa"/>
            <w:tcBorders>
              <w:top w:val="single" w:sz="4" w:space="0" w:color="000000"/>
              <w:left w:val="single" w:sz="4" w:space="0" w:color="000000"/>
              <w:bottom w:val="single" w:sz="4" w:space="0" w:color="000000"/>
            </w:tcBorders>
            <w:shd w:val="clear" w:color="auto" w:fill="4F81BD" w:themeFill="accent1"/>
          </w:tcPr>
          <w:p w14:paraId="11883DE1" w14:textId="77777777" w:rsidR="00E01CA0" w:rsidRPr="00BB53C0" w:rsidRDefault="00E01CA0" w:rsidP="00E01CA0">
            <w:pPr>
              <w:spacing w:after="0" w:line="240" w:lineRule="auto"/>
              <w:jc w:val="center"/>
              <w:rPr>
                <w:rFonts w:ascii="Arial" w:hAnsi="Arial" w:cs="Arial"/>
                <w:color w:val="FFFFFF" w:themeColor="background1"/>
                <w:sz w:val="18"/>
                <w:szCs w:val="18"/>
              </w:rPr>
            </w:pPr>
            <w:r w:rsidRPr="00BB53C0">
              <w:rPr>
                <w:rFonts w:ascii="Arial" w:hAnsi="Arial" w:cs="Arial"/>
                <w:b/>
                <w:color w:val="FFFFFF" w:themeColor="background1"/>
                <w:sz w:val="18"/>
                <w:szCs w:val="18"/>
              </w:rPr>
              <w:t>Fecha</w:t>
            </w:r>
          </w:p>
        </w:tc>
        <w:tc>
          <w:tcPr>
            <w:tcW w:w="1276" w:type="dxa"/>
            <w:tcBorders>
              <w:top w:val="single" w:sz="4" w:space="0" w:color="000000"/>
              <w:left w:val="single" w:sz="4" w:space="0" w:color="000000"/>
              <w:bottom w:val="single" w:sz="4" w:space="0" w:color="000000"/>
            </w:tcBorders>
            <w:shd w:val="clear" w:color="auto" w:fill="4F81BD" w:themeFill="accent1"/>
          </w:tcPr>
          <w:p w14:paraId="32BA8C7F" w14:textId="77777777" w:rsidR="00E01CA0" w:rsidRPr="00BB53C0" w:rsidRDefault="00E01CA0" w:rsidP="00E01CA0">
            <w:pPr>
              <w:spacing w:after="0" w:line="240" w:lineRule="auto"/>
              <w:jc w:val="center"/>
              <w:rPr>
                <w:rFonts w:ascii="Arial" w:hAnsi="Arial" w:cs="Arial"/>
                <w:color w:val="FFFFFF" w:themeColor="background1"/>
                <w:sz w:val="18"/>
                <w:szCs w:val="18"/>
              </w:rPr>
            </w:pPr>
            <w:r w:rsidRPr="00BB53C0">
              <w:rPr>
                <w:rFonts w:ascii="Arial" w:hAnsi="Arial" w:cs="Arial"/>
                <w:b/>
                <w:color w:val="FFFFFF" w:themeColor="background1"/>
                <w:sz w:val="18"/>
                <w:szCs w:val="18"/>
              </w:rPr>
              <w:t>Persona Participante</w:t>
            </w:r>
          </w:p>
        </w:tc>
        <w:tc>
          <w:tcPr>
            <w:tcW w:w="1558"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39ACC0F9" w14:textId="77777777" w:rsidR="00E01CA0" w:rsidRPr="00BB53C0" w:rsidRDefault="00E01CA0" w:rsidP="00E01CA0">
            <w:pPr>
              <w:spacing w:after="0" w:line="240" w:lineRule="auto"/>
              <w:jc w:val="center"/>
              <w:rPr>
                <w:rFonts w:ascii="Arial" w:hAnsi="Arial" w:cs="Arial"/>
                <w:color w:val="FFFFFF" w:themeColor="background1"/>
                <w:sz w:val="18"/>
                <w:szCs w:val="18"/>
              </w:rPr>
            </w:pPr>
            <w:r w:rsidRPr="00BB53C0">
              <w:rPr>
                <w:rFonts w:ascii="Arial" w:hAnsi="Arial" w:cs="Arial"/>
                <w:b/>
                <w:color w:val="FFFFFF" w:themeColor="background1"/>
                <w:sz w:val="18"/>
                <w:szCs w:val="18"/>
              </w:rPr>
              <w:t>Acuerdo CS</w:t>
            </w:r>
          </w:p>
        </w:tc>
      </w:tr>
      <w:tr w:rsidR="00E01CA0" w:rsidRPr="00BB53C0" w14:paraId="7B496F7A" w14:textId="77777777" w:rsidTr="00E01CA0">
        <w:trPr>
          <w:trHeight w:val="1031"/>
        </w:trPr>
        <w:tc>
          <w:tcPr>
            <w:tcW w:w="4942" w:type="dxa"/>
            <w:tcBorders>
              <w:left w:val="single" w:sz="4" w:space="0" w:color="000000"/>
              <w:bottom w:val="single" w:sz="4" w:space="0" w:color="000000"/>
            </w:tcBorders>
            <w:shd w:val="clear" w:color="auto" w:fill="auto"/>
          </w:tcPr>
          <w:p w14:paraId="013DD3CB"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Congreso Justicia y Educación con Visión Restaurativa</w:t>
            </w:r>
          </w:p>
          <w:p w14:paraId="3BF2C998"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Presencial:  México</w:t>
            </w:r>
          </w:p>
          <w:p w14:paraId="6C2CA48F"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Invita:  IIRP</w:t>
            </w:r>
          </w:p>
        </w:tc>
        <w:tc>
          <w:tcPr>
            <w:tcW w:w="1135" w:type="dxa"/>
            <w:tcBorders>
              <w:left w:val="single" w:sz="4" w:space="0" w:color="000000"/>
              <w:bottom w:val="single" w:sz="4" w:space="0" w:color="000000"/>
            </w:tcBorders>
            <w:shd w:val="clear" w:color="auto" w:fill="auto"/>
          </w:tcPr>
          <w:p w14:paraId="07B1ED2D"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Del 4 al 6 de maro</w:t>
            </w:r>
          </w:p>
        </w:tc>
        <w:tc>
          <w:tcPr>
            <w:tcW w:w="1276" w:type="dxa"/>
            <w:tcBorders>
              <w:left w:val="single" w:sz="4" w:space="0" w:color="000000"/>
              <w:bottom w:val="single" w:sz="4" w:space="0" w:color="000000"/>
            </w:tcBorders>
            <w:shd w:val="clear" w:color="auto" w:fill="auto"/>
          </w:tcPr>
          <w:p w14:paraId="4FE48820"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Gerardo Rubén Alfaro</w:t>
            </w:r>
          </w:p>
        </w:tc>
        <w:tc>
          <w:tcPr>
            <w:tcW w:w="1558" w:type="dxa"/>
            <w:tcBorders>
              <w:left w:val="single" w:sz="4" w:space="0" w:color="000000"/>
              <w:bottom w:val="single" w:sz="4" w:space="0" w:color="000000"/>
              <w:right w:val="single" w:sz="4" w:space="0" w:color="000000"/>
            </w:tcBorders>
            <w:shd w:val="clear" w:color="auto" w:fill="auto"/>
          </w:tcPr>
          <w:p w14:paraId="0D4716FC"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201F1E"/>
                <w:sz w:val="18"/>
                <w:szCs w:val="18"/>
                <w:shd w:val="clear" w:color="auto" w:fill="FFFFFF"/>
              </w:rPr>
              <w:t>Sesión no. 11-2020, celebrada el 11 de febrero de 2020, artículo LXXXII</w:t>
            </w:r>
          </w:p>
        </w:tc>
      </w:tr>
      <w:tr w:rsidR="00E01CA0" w:rsidRPr="00BB53C0" w14:paraId="6F2444FE" w14:textId="77777777" w:rsidTr="00E01CA0">
        <w:tc>
          <w:tcPr>
            <w:tcW w:w="4942" w:type="dxa"/>
            <w:tcBorders>
              <w:top w:val="single" w:sz="4" w:space="0" w:color="000000"/>
              <w:left w:val="single" w:sz="4" w:space="0" w:color="000000"/>
              <w:bottom w:val="single" w:sz="4" w:space="0" w:color="000000"/>
            </w:tcBorders>
            <w:shd w:val="clear" w:color="auto" w:fill="auto"/>
          </w:tcPr>
          <w:p w14:paraId="4B46826C" w14:textId="0053BBBE" w:rsidR="00E01CA0" w:rsidRPr="00BB53C0" w:rsidRDefault="005F7288" w:rsidP="00E01CA0">
            <w:pPr>
              <w:spacing w:after="0" w:line="240" w:lineRule="auto"/>
              <w:rPr>
                <w:rFonts w:ascii="Arial" w:hAnsi="Arial" w:cs="Arial"/>
                <w:sz w:val="18"/>
                <w:szCs w:val="18"/>
              </w:rPr>
            </w:pPr>
            <w:r w:rsidRPr="00BB53C0">
              <w:rPr>
                <w:rFonts w:ascii="Arial" w:hAnsi="Arial" w:cs="Arial"/>
                <w:color w:val="201F1E"/>
                <w:sz w:val="18"/>
                <w:szCs w:val="18"/>
                <w:shd w:val="clear" w:color="auto" w:fill="FFFFFF"/>
              </w:rPr>
              <w:t>Participación en comisión</w:t>
            </w:r>
            <w:r w:rsidR="00E01CA0" w:rsidRPr="00BB53C0">
              <w:rPr>
                <w:rFonts w:ascii="Arial" w:hAnsi="Arial" w:cs="Arial"/>
                <w:color w:val="201F1E"/>
                <w:sz w:val="18"/>
                <w:szCs w:val="18"/>
                <w:shd w:val="clear" w:color="auto" w:fill="FFFFFF"/>
              </w:rPr>
              <w:t xml:space="preserve"> especial para impulsar un proyecto de ley sobre justicia restaurativa y terapéutica para Colombia.</w:t>
            </w:r>
          </w:p>
          <w:p w14:paraId="6B0640AC"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201F1E"/>
                <w:sz w:val="18"/>
                <w:szCs w:val="18"/>
                <w:highlight w:val="white"/>
              </w:rPr>
              <w:t>Invita: Poder Judicial Colombia</w:t>
            </w:r>
          </w:p>
        </w:tc>
        <w:tc>
          <w:tcPr>
            <w:tcW w:w="1135" w:type="dxa"/>
            <w:tcBorders>
              <w:top w:val="single" w:sz="4" w:space="0" w:color="000000"/>
              <w:left w:val="single" w:sz="4" w:space="0" w:color="000000"/>
              <w:bottom w:val="single" w:sz="4" w:space="0" w:color="000000"/>
            </w:tcBorders>
            <w:shd w:val="clear" w:color="auto" w:fill="auto"/>
          </w:tcPr>
          <w:p w14:paraId="69EC05B6"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Forma virtual en sesiones celebradas t los días martes de 4:00pm a 7:00pm (hora Costa Rica), del 12 de mayo al 07 de julio del 2020</w:t>
            </w:r>
          </w:p>
        </w:tc>
        <w:tc>
          <w:tcPr>
            <w:tcW w:w="1276" w:type="dxa"/>
            <w:tcBorders>
              <w:top w:val="single" w:sz="4" w:space="0" w:color="000000"/>
              <w:left w:val="single" w:sz="4" w:space="0" w:color="000000"/>
              <w:bottom w:val="single" w:sz="4" w:space="0" w:color="000000"/>
            </w:tcBorders>
            <w:shd w:val="clear" w:color="auto" w:fill="auto"/>
          </w:tcPr>
          <w:p w14:paraId="1EA40171"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Michelle Mayorga Agüero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4D81C3A" w14:textId="77777777" w:rsidR="00E01CA0" w:rsidRPr="00BB53C0" w:rsidRDefault="00E01CA0" w:rsidP="00E01CA0">
            <w:pPr>
              <w:pStyle w:val="xmsonormal"/>
              <w:shd w:val="clear" w:color="auto" w:fill="FFFFFF"/>
              <w:spacing w:before="0" w:after="0"/>
              <w:jc w:val="both"/>
              <w:rPr>
                <w:rFonts w:ascii="Arial" w:hAnsi="Arial" w:cs="Arial"/>
                <w:sz w:val="18"/>
                <w:szCs w:val="18"/>
              </w:rPr>
            </w:pPr>
            <w:r w:rsidRPr="00BB53C0">
              <w:rPr>
                <w:rFonts w:ascii="Arial" w:hAnsi="Arial" w:cs="Arial"/>
                <w:color w:val="000000"/>
                <w:sz w:val="18"/>
                <w:szCs w:val="18"/>
              </w:rPr>
              <w:t>S</w:t>
            </w:r>
            <w:r w:rsidRPr="00BB53C0">
              <w:rPr>
                <w:rFonts w:ascii="Arial" w:hAnsi="Arial" w:cs="Arial"/>
                <w:color w:val="000000"/>
                <w:sz w:val="18"/>
                <w:szCs w:val="18"/>
                <w:lang w:val="es-ES"/>
              </w:rPr>
              <w:t>esión </w:t>
            </w:r>
            <w:r w:rsidRPr="00BB53C0">
              <w:rPr>
                <w:rFonts w:ascii="Arial" w:hAnsi="Arial" w:cs="Arial"/>
                <w:b/>
                <w:bCs/>
                <w:color w:val="000000"/>
                <w:sz w:val="18"/>
                <w:szCs w:val="18"/>
                <w:lang w:val="es-ES"/>
              </w:rPr>
              <w:t>N° 57-2020 </w:t>
            </w:r>
            <w:r w:rsidRPr="00BB53C0">
              <w:rPr>
                <w:rFonts w:ascii="Arial" w:hAnsi="Arial" w:cs="Arial"/>
                <w:color w:val="000000"/>
                <w:sz w:val="18"/>
                <w:szCs w:val="18"/>
                <w:lang w:val="es-ES"/>
              </w:rPr>
              <w:t>celebrada el </w:t>
            </w:r>
            <w:r w:rsidRPr="00BB53C0">
              <w:rPr>
                <w:rFonts w:ascii="Arial" w:hAnsi="Arial" w:cs="Arial"/>
                <w:b/>
                <w:bCs/>
                <w:color w:val="000000"/>
                <w:sz w:val="18"/>
                <w:szCs w:val="18"/>
                <w:lang w:val="es-ES"/>
              </w:rPr>
              <w:t>11 de junio del 2020,</w:t>
            </w:r>
            <w:r w:rsidRPr="00BB53C0">
              <w:rPr>
                <w:rFonts w:ascii="Arial" w:hAnsi="Arial" w:cs="Arial"/>
                <w:color w:val="000000"/>
                <w:sz w:val="18"/>
                <w:szCs w:val="18"/>
                <w:lang w:val="es-ES"/>
              </w:rPr>
              <w:t> </w:t>
            </w:r>
            <w:bookmarkStart w:id="44" w:name="x__Toc42535490"/>
            <w:r w:rsidRPr="00BB53C0">
              <w:rPr>
                <w:rFonts w:ascii="Arial" w:hAnsi="Arial" w:cs="Arial"/>
                <w:b/>
                <w:bCs/>
                <w:color w:val="201F1E"/>
                <w:sz w:val="18"/>
                <w:szCs w:val="18"/>
                <w:u w:val="single"/>
              </w:rPr>
              <w:t>ARTÍCULO LX</w:t>
            </w:r>
            <w:bookmarkEnd w:id="44"/>
          </w:p>
          <w:p w14:paraId="41BF9E2F" w14:textId="77777777" w:rsidR="00E01CA0" w:rsidRPr="00BB53C0" w:rsidRDefault="00E01CA0" w:rsidP="00E01CA0">
            <w:pPr>
              <w:spacing w:after="0" w:line="240" w:lineRule="auto"/>
              <w:rPr>
                <w:rFonts w:ascii="Arial" w:hAnsi="Arial" w:cs="Arial"/>
                <w:color w:val="201F1E"/>
                <w:sz w:val="18"/>
                <w:szCs w:val="18"/>
              </w:rPr>
            </w:pPr>
          </w:p>
        </w:tc>
      </w:tr>
      <w:tr w:rsidR="00E01CA0" w:rsidRPr="00BB53C0" w14:paraId="72080443" w14:textId="77777777" w:rsidTr="00E01CA0">
        <w:tc>
          <w:tcPr>
            <w:tcW w:w="4942" w:type="dxa"/>
            <w:tcBorders>
              <w:top w:val="single" w:sz="4" w:space="0" w:color="000000"/>
              <w:left w:val="single" w:sz="4" w:space="0" w:color="000000"/>
              <w:bottom w:val="single" w:sz="4" w:space="0" w:color="000000"/>
            </w:tcBorders>
            <w:shd w:val="clear" w:color="auto" w:fill="auto"/>
          </w:tcPr>
          <w:p w14:paraId="5D77AEE5"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000000"/>
                <w:sz w:val="18"/>
                <w:szCs w:val="18"/>
              </w:rPr>
              <w:t>Experiencias y avances del estudio diagnóstico sobre consumo de drogas y comisión de delitos</w:t>
            </w:r>
          </w:p>
          <w:p w14:paraId="537D7350"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000000"/>
                <w:sz w:val="18"/>
                <w:szCs w:val="18"/>
              </w:rPr>
              <w:t>Invita: CICAD-OEA</w:t>
            </w:r>
          </w:p>
        </w:tc>
        <w:tc>
          <w:tcPr>
            <w:tcW w:w="1135" w:type="dxa"/>
            <w:tcBorders>
              <w:top w:val="single" w:sz="4" w:space="0" w:color="000000"/>
              <w:left w:val="single" w:sz="4" w:space="0" w:color="000000"/>
              <w:bottom w:val="single" w:sz="4" w:space="0" w:color="000000"/>
            </w:tcBorders>
            <w:shd w:val="clear" w:color="auto" w:fill="auto"/>
          </w:tcPr>
          <w:p w14:paraId="0EBDA207"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1 de mayo de 2020</w:t>
            </w:r>
          </w:p>
        </w:tc>
        <w:tc>
          <w:tcPr>
            <w:tcW w:w="1276" w:type="dxa"/>
            <w:tcBorders>
              <w:top w:val="single" w:sz="4" w:space="0" w:color="000000"/>
              <w:left w:val="single" w:sz="4" w:space="0" w:color="000000"/>
              <w:bottom w:val="single" w:sz="4" w:space="0" w:color="000000"/>
            </w:tcBorders>
            <w:shd w:val="clear" w:color="auto" w:fill="auto"/>
          </w:tcPr>
          <w:p w14:paraId="1BFD917B"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Michelle Mayorga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9C2D23B" w14:textId="77777777" w:rsidR="00E01CA0" w:rsidRPr="00BB53C0" w:rsidRDefault="00E01CA0" w:rsidP="00E01CA0">
            <w:pPr>
              <w:snapToGrid w:val="0"/>
              <w:spacing w:after="0" w:line="240" w:lineRule="auto"/>
              <w:rPr>
                <w:rFonts w:ascii="Arial" w:hAnsi="Arial" w:cs="Arial"/>
                <w:sz w:val="18"/>
                <w:szCs w:val="18"/>
              </w:rPr>
            </w:pPr>
          </w:p>
        </w:tc>
      </w:tr>
      <w:tr w:rsidR="00E01CA0" w:rsidRPr="00BB53C0" w14:paraId="5162F9FD" w14:textId="77777777" w:rsidTr="00E01CA0">
        <w:tc>
          <w:tcPr>
            <w:tcW w:w="4942" w:type="dxa"/>
            <w:tcBorders>
              <w:left w:val="single" w:sz="4" w:space="0" w:color="000000"/>
              <w:bottom w:val="single" w:sz="4" w:space="0" w:color="000000"/>
            </w:tcBorders>
            <w:shd w:val="clear" w:color="auto" w:fill="auto"/>
          </w:tcPr>
          <w:p w14:paraId="38986E95"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000000"/>
                <w:sz w:val="18"/>
                <w:szCs w:val="18"/>
              </w:rPr>
              <w:t>Ponencia virtual sobre el tema “Derechos procesales de la Justicia Penal Juvenil”, el próximo 11 de junio a las 3:00 p.m., hora Costa Rica. Esta invitación fue realizada por el Tribunal de Familia de la República del Perú.</w:t>
            </w:r>
          </w:p>
        </w:tc>
        <w:tc>
          <w:tcPr>
            <w:tcW w:w="1135" w:type="dxa"/>
            <w:tcBorders>
              <w:left w:val="single" w:sz="4" w:space="0" w:color="000000"/>
              <w:bottom w:val="single" w:sz="4" w:space="0" w:color="000000"/>
            </w:tcBorders>
            <w:shd w:val="clear" w:color="auto" w:fill="auto"/>
          </w:tcPr>
          <w:p w14:paraId="4AD727DD"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11 de junio</w:t>
            </w:r>
          </w:p>
        </w:tc>
        <w:tc>
          <w:tcPr>
            <w:tcW w:w="1276" w:type="dxa"/>
            <w:tcBorders>
              <w:left w:val="single" w:sz="4" w:space="0" w:color="000000"/>
              <w:bottom w:val="single" w:sz="4" w:space="0" w:color="000000"/>
            </w:tcBorders>
            <w:shd w:val="clear" w:color="auto" w:fill="auto"/>
          </w:tcPr>
          <w:p w14:paraId="3B212C0B"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Lourdes Espinach Rueda</w:t>
            </w:r>
          </w:p>
        </w:tc>
        <w:tc>
          <w:tcPr>
            <w:tcW w:w="1558" w:type="dxa"/>
            <w:tcBorders>
              <w:left w:val="single" w:sz="4" w:space="0" w:color="000000"/>
              <w:bottom w:val="single" w:sz="4" w:space="0" w:color="000000"/>
              <w:right w:val="single" w:sz="4" w:space="0" w:color="000000"/>
            </w:tcBorders>
            <w:shd w:val="clear" w:color="auto" w:fill="auto"/>
          </w:tcPr>
          <w:p w14:paraId="02A364E9"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b/>
                <w:bCs/>
                <w:color w:val="201F1E"/>
                <w:sz w:val="18"/>
                <w:szCs w:val="18"/>
                <w:lang w:val="es-ES"/>
              </w:rPr>
              <w:t>Sesión N° 56-2020 </w:t>
            </w:r>
            <w:r w:rsidRPr="00BB53C0">
              <w:rPr>
                <w:rFonts w:ascii="Arial" w:hAnsi="Arial" w:cs="Arial"/>
                <w:color w:val="201F1E"/>
                <w:sz w:val="18"/>
                <w:szCs w:val="18"/>
                <w:lang w:val="es-ES"/>
              </w:rPr>
              <w:t>celebrada el </w:t>
            </w:r>
            <w:r w:rsidRPr="00BB53C0">
              <w:rPr>
                <w:rFonts w:ascii="Arial" w:hAnsi="Arial" w:cs="Arial"/>
                <w:b/>
                <w:bCs/>
                <w:color w:val="201F1E"/>
                <w:sz w:val="18"/>
                <w:szCs w:val="18"/>
                <w:lang w:val="es-ES"/>
              </w:rPr>
              <w:t>09 de junio del 2020, </w:t>
            </w:r>
            <w:r w:rsidRPr="00BB53C0">
              <w:rPr>
                <w:rFonts w:ascii="Arial" w:hAnsi="Arial" w:cs="Arial"/>
                <w:b/>
                <w:bCs/>
                <w:color w:val="201F1E"/>
                <w:sz w:val="18"/>
                <w:szCs w:val="18"/>
                <w:u w:val="single"/>
              </w:rPr>
              <w:t>ARTÍCULO XXXIV</w:t>
            </w:r>
          </w:p>
        </w:tc>
      </w:tr>
      <w:tr w:rsidR="00E01CA0" w:rsidRPr="00BB53C0" w14:paraId="6FB5F3C5" w14:textId="77777777" w:rsidTr="00E01CA0">
        <w:trPr>
          <w:trHeight w:val="1252"/>
        </w:trPr>
        <w:tc>
          <w:tcPr>
            <w:tcW w:w="4942" w:type="dxa"/>
            <w:tcBorders>
              <w:top w:val="single" w:sz="4" w:space="0" w:color="000000"/>
              <w:left w:val="single" w:sz="4" w:space="0" w:color="000000"/>
              <w:bottom w:val="single" w:sz="4" w:space="0" w:color="000000"/>
            </w:tcBorders>
            <w:shd w:val="clear" w:color="auto" w:fill="auto"/>
          </w:tcPr>
          <w:p w14:paraId="5D1D335B"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000000"/>
                <w:sz w:val="18"/>
                <w:szCs w:val="18"/>
              </w:rPr>
              <w:t>II Precongreso “Justicia Juvenil: Teorías y prácticas restaurativas en América Latina Invita: la Asociación Latinoamericana de magistrados, funcionarios, profesionales y operadores de niñez, adolescencia y familia de Argentina.</w:t>
            </w:r>
          </w:p>
          <w:p w14:paraId="44480FBD" w14:textId="77777777" w:rsidR="00E01CA0" w:rsidRPr="00BB53C0" w:rsidRDefault="00E01CA0" w:rsidP="00E01CA0">
            <w:pPr>
              <w:spacing w:after="0" w:line="240" w:lineRule="auto"/>
              <w:rPr>
                <w:rFonts w:ascii="Arial" w:hAnsi="Arial" w:cs="Arial"/>
                <w:color w:val="201F1E"/>
                <w:sz w:val="18"/>
                <w:szCs w:val="18"/>
              </w:rPr>
            </w:pPr>
          </w:p>
        </w:tc>
        <w:tc>
          <w:tcPr>
            <w:tcW w:w="1135" w:type="dxa"/>
            <w:tcBorders>
              <w:top w:val="single" w:sz="4" w:space="0" w:color="000000"/>
              <w:left w:val="single" w:sz="4" w:space="0" w:color="000000"/>
              <w:bottom w:val="single" w:sz="4" w:space="0" w:color="000000"/>
            </w:tcBorders>
            <w:shd w:val="clear" w:color="auto" w:fill="auto"/>
          </w:tcPr>
          <w:p w14:paraId="1B908BCC"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12 de junio 2020</w:t>
            </w:r>
          </w:p>
        </w:tc>
        <w:tc>
          <w:tcPr>
            <w:tcW w:w="1276" w:type="dxa"/>
            <w:tcBorders>
              <w:top w:val="single" w:sz="4" w:space="0" w:color="000000"/>
              <w:left w:val="single" w:sz="4" w:space="0" w:color="000000"/>
              <w:bottom w:val="single" w:sz="4" w:space="0" w:color="000000"/>
            </w:tcBorders>
            <w:shd w:val="clear" w:color="auto" w:fill="auto"/>
          </w:tcPr>
          <w:p w14:paraId="134FC530"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Lourdes Espinach Rueda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764C7F20"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b/>
                <w:bCs/>
                <w:color w:val="201F1E"/>
                <w:sz w:val="18"/>
                <w:szCs w:val="18"/>
                <w:lang w:val="es-ES"/>
              </w:rPr>
              <w:t>Sesión N° 56-2020 </w:t>
            </w:r>
            <w:r w:rsidRPr="00BB53C0">
              <w:rPr>
                <w:rFonts w:ascii="Arial" w:hAnsi="Arial" w:cs="Arial"/>
                <w:color w:val="201F1E"/>
                <w:sz w:val="18"/>
                <w:szCs w:val="18"/>
                <w:lang w:val="es-ES"/>
              </w:rPr>
              <w:t>celebrada el </w:t>
            </w:r>
            <w:r w:rsidRPr="00BB53C0">
              <w:rPr>
                <w:rFonts w:ascii="Arial" w:hAnsi="Arial" w:cs="Arial"/>
                <w:b/>
                <w:bCs/>
                <w:color w:val="201F1E"/>
                <w:sz w:val="18"/>
                <w:szCs w:val="18"/>
                <w:lang w:val="es-ES"/>
              </w:rPr>
              <w:t>09 de junio del 2020, </w:t>
            </w:r>
            <w:r w:rsidRPr="00BB53C0">
              <w:rPr>
                <w:rFonts w:ascii="Arial" w:hAnsi="Arial" w:cs="Arial"/>
                <w:b/>
                <w:bCs/>
                <w:color w:val="201F1E"/>
                <w:sz w:val="18"/>
                <w:szCs w:val="18"/>
                <w:u w:val="single"/>
              </w:rPr>
              <w:t>ARTÍCULO XXXIV</w:t>
            </w:r>
          </w:p>
        </w:tc>
      </w:tr>
      <w:tr w:rsidR="00E01CA0" w:rsidRPr="00BB53C0" w14:paraId="75283F6A" w14:textId="77777777" w:rsidTr="00E01CA0">
        <w:tc>
          <w:tcPr>
            <w:tcW w:w="4942" w:type="dxa"/>
            <w:tcBorders>
              <w:top w:val="single" w:sz="4" w:space="0" w:color="000000"/>
              <w:left w:val="single" w:sz="4" w:space="0" w:color="000000"/>
              <w:bottom w:val="single" w:sz="4" w:space="0" w:color="000000"/>
            </w:tcBorders>
            <w:shd w:val="clear" w:color="auto" w:fill="auto"/>
          </w:tcPr>
          <w:p w14:paraId="3255C43A"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201F1E"/>
                <w:sz w:val="18"/>
                <w:szCs w:val="18"/>
                <w:highlight w:val="white"/>
              </w:rPr>
              <w:t>III Congreso Nacional e Internacional sobre mediación y Justicia Juvenil Restaurativa</w:t>
            </w:r>
          </w:p>
          <w:p w14:paraId="1F55C20F"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201F1E"/>
                <w:sz w:val="18"/>
                <w:szCs w:val="18"/>
                <w:shd w:val="clear" w:color="auto" w:fill="FFFFFF"/>
              </w:rPr>
              <w:t>Invita: Comisión Permanente de Acceso a la Justicia de Personas en Condición de Vulnerabilidad y Justicia en tu Comunidad, Poder Judicial de Perú</w:t>
            </w:r>
          </w:p>
        </w:tc>
        <w:tc>
          <w:tcPr>
            <w:tcW w:w="1135" w:type="dxa"/>
            <w:tcBorders>
              <w:top w:val="single" w:sz="4" w:space="0" w:color="000000"/>
              <w:left w:val="single" w:sz="4" w:space="0" w:color="000000"/>
              <w:bottom w:val="single" w:sz="4" w:space="0" w:color="000000"/>
            </w:tcBorders>
            <w:shd w:val="clear" w:color="auto" w:fill="auto"/>
          </w:tcPr>
          <w:p w14:paraId="38027CE3"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16 de julio del 2020</w:t>
            </w:r>
          </w:p>
        </w:tc>
        <w:tc>
          <w:tcPr>
            <w:tcW w:w="1276" w:type="dxa"/>
            <w:tcBorders>
              <w:top w:val="single" w:sz="4" w:space="0" w:color="000000"/>
              <w:left w:val="single" w:sz="4" w:space="0" w:color="000000"/>
              <w:bottom w:val="single" w:sz="4" w:space="0" w:color="000000"/>
            </w:tcBorders>
            <w:shd w:val="clear" w:color="auto" w:fill="auto"/>
          </w:tcPr>
          <w:p w14:paraId="527DD639"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Michelle Mayorga Agüero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09026AB"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r w:rsidR="00E01CA0" w:rsidRPr="00BB53C0" w14:paraId="0A2F303C" w14:textId="77777777" w:rsidTr="00E01CA0">
        <w:tc>
          <w:tcPr>
            <w:tcW w:w="4942" w:type="dxa"/>
            <w:tcBorders>
              <w:top w:val="single" w:sz="4" w:space="0" w:color="000000"/>
              <w:left w:val="single" w:sz="4" w:space="0" w:color="000000"/>
              <w:bottom w:val="single" w:sz="4" w:space="0" w:color="000000"/>
            </w:tcBorders>
            <w:shd w:val="clear" w:color="auto" w:fill="auto"/>
          </w:tcPr>
          <w:p w14:paraId="2415C8C9" w14:textId="1F924DDF"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 xml:space="preserve">Seminario virtual Buenas prácticas sobre </w:t>
            </w:r>
            <w:r w:rsidR="00210D92" w:rsidRPr="00BB53C0">
              <w:rPr>
                <w:rFonts w:ascii="Arial" w:hAnsi="Arial" w:cs="Arial"/>
                <w:sz w:val="18"/>
                <w:szCs w:val="18"/>
              </w:rPr>
              <w:t>el tratamiento</w:t>
            </w:r>
            <w:r w:rsidRPr="00BB53C0">
              <w:rPr>
                <w:rFonts w:ascii="Arial" w:hAnsi="Arial" w:cs="Arial"/>
                <w:sz w:val="18"/>
                <w:szCs w:val="18"/>
              </w:rPr>
              <w:t xml:space="preserve"> como alternativa al encarcelamiento para las personas en conflicto con la ley con trastornos por consumo de drogas durante la COVID-19</w:t>
            </w:r>
          </w:p>
        </w:tc>
        <w:tc>
          <w:tcPr>
            <w:tcW w:w="1135" w:type="dxa"/>
            <w:tcBorders>
              <w:top w:val="single" w:sz="4" w:space="0" w:color="000000"/>
              <w:left w:val="single" w:sz="4" w:space="0" w:color="000000"/>
              <w:bottom w:val="single" w:sz="4" w:space="0" w:color="000000"/>
            </w:tcBorders>
            <w:shd w:val="clear" w:color="auto" w:fill="auto"/>
          </w:tcPr>
          <w:p w14:paraId="72C4837C"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17 de setiembre</w:t>
            </w:r>
          </w:p>
        </w:tc>
        <w:tc>
          <w:tcPr>
            <w:tcW w:w="1276" w:type="dxa"/>
            <w:tcBorders>
              <w:top w:val="single" w:sz="4" w:space="0" w:color="000000"/>
              <w:left w:val="single" w:sz="4" w:space="0" w:color="000000"/>
              <w:bottom w:val="single" w:sz="4" w:space="0" w:color="000000"/>
            </w:tcBorders>
            <w:shd w:val="clear" w:color="auto" w:fill="auto"/>
          </w:tcPr>
          <w:p w14:paraId="77F51C49" w14:textId="2F0C3D51" w:rsidR="00E01CA0" w:rsidRPr="00BB53C0" w:rsidRDefault="00210D92" w:rsidP="00E01CA0">
            <w:pPr>
              <w:spacing w:after="0" w:line="240" w:lineRule="auto"/>
              <w:rPr>
                <w:rFonts w:ascii="Arial" w:hAnsi="Arial" w:cs="Arial"/>
                <w:sz w:val="18"/>
                <w:szCs w:val="18"/>
              </w:rPr>
            </w:pPr>
            <w:r w:rsidRPr="00BB53C0">
              <w:rPr>
                <w:rFonts w:ascii="Arial" w:hAnsi="Arial" w:cs="Arial"/>
                <w:sz w:val="18"/>
                <w:szCs w:val="18"/>
              </w:rPr>
              <w:t>Mag. Gerardo</w:t>
            </w:r>
            <w:r w:rsidR="00E01CA0" w:rsidRPr="00BB53C0">
              <w:rPr>
                <w:rFonts w:ascii="Arial" w:hAnsi="Arial" w:cs="Arial"/>
                <w:sz w:val="18"/>
                <w:szCs w:val="18"/>
              </w:rPr>
              <w:t xml:space="preserve"> Rubén Alfaro Vargas</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14B209F"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r w:rsidR="00E01CA0" w:rsidRPr="00BB53C0" w14:paraId="2ABA7FBD" w14:textId="77777777" w:rsidTr="00E01CA0">
        <w:tc>
          <w:tcPr>
            <w:tcW w:w="4942" w:type="dxa"/>
            <w:tcBorders>
              <w:left w:val="single" w:sz="4" w:space="0" w:color="000000"/>
              <w:bottom w:val="single" w:sz="4" w:space="0" w:color="000000"/>
            </w:tcBorders>
            <w:shd w:val="clear" w:color="auto" w:fill="auto"/>
          </w:tcPr>
          <w:p w14:paraId="4F5A1150"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I Encuentro Latinoamericano de experiencias y buenas prácticas en la atención de adolescentes en conflicto con la Ley,</w:t>
            </w:r>
          </w:p>
          <w:p w14:paraId="4D5707A6"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201F1E"/>
                <w:sz w:val="18"/>
                <w:szCs w:val="18"/>
                <w:shd w:val="clear" w:color="auto" w:fill="FFFFFF"/>
              </w:rPr>
              <w:t>Invita: Centro para el Emprendimiento y Aprendizaje Sostenible de Perú</w:t>
            </w:r>
          </w:p>
        </w:tc>
        <w:tc>
          <w:tcPr>
            <w:tcW w:w="1135" w:type="dxa"/>
            <w:tcBorders>
              <w:left w:val="single" w:sz="4" w:space="0" w:color="000000"/>
              <w:bottom w:val="single" w:sz="4" w:space="0" w:color="000000"/>
            </w:tcBorders>
            <w:shd w:val="clear" w:color="auto" w:fill="auto"/>
          </w:tcPr>
          <w:p w14:paraId="1ECD4020"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25 de setiembre</w:t>
            </w:r>
          </w:p>
        </w:tc>
        <w:tc>
          <w:tcPr>
            <w:tcW w:w="1276" w:type="dxa"/>
            <w:tcBorders>
              <w:left w:val="single" w:sz="4" w:space="0" w:color="000000"/>
              <w:bottom w:val="single" w:sz="4" w:space="0" w:color="000000"/>
            </w:tcBorders>
            <w:shd w:val="clear" w:color="auto" w:fill="auto"/>
          </w:tcPr>
          <w:p w14:paraId="4321D6C7"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Lourdes Espinach</w:t>
            </w:r>
          </w:p>
        </w:tc>
        <w:tc>
          <w:tcPr>
            <w:tcW w:w="1558" w:type="dxa"/>
            <w:tcBorders>
              <w:left w:val="single" w:sz="4" w:space="0" w:color="000000"/>
              <w:bottom w:val="single" w:sz="4" w:space="0" w:color="000000"/>
              <w:right w:val="single" w:sz="4" w:space="0" w:color="000000"/>
            </w:tcBorders>
            <w:shd w:val="clear" w:color="auto" w:fill="auto"/>
          </w:tcPr>
          <w:p w14:paraId="04397141"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r w:rsidR="00E01CA0" w:rsidRPr="00BB53C0" w14:paraId="15FE7A9B" w14:textId="77777777" w:rsidTr="00E01CA0">
        <w:tc>
          <w:tcPr>
            <w:tcW w:w="4942" w:type="dxa"/>
            <w:tcBorders>
              <w:top w:val="single" w:sz="4" w:space="0" w:color="000000"/>
              <w:left w:val="single" w:sz="4" w:space="0" w:color="000000"/>
              <w:bottom w:val="single" w:sz="4" w:space="0" w:color="000000"/>
            </w:tcBorders>
            <w:shd w:val="clear" w:color="auto" w:fill="auto"/>
          </w:tcPr>
          <w:p w14:paraId="4FC3472E"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Clase magistral universitaria</w:t>
            </w:r>
          </w:p>
          <w:p w14:paraId="118EA188" w14:textId="28A29DB6"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 xml:space="preserve">Invita: Programa de actualización Penal Juvenil Universidad de </w:t>
            </w:r>
            <w:r w:rsidR="005F7288" w:rsidRPr="00BB53C0">
              <w:rPr>
                <w:rFonts w:ascii="Arial" w:hAnsi="Arial" w:cs="Arial"/>
                <w:sz w:val="18"/>
                <w:szCs w:val="18"/>
              </w:rPr>
              <w:t>San Isidro</w:t>
            </w:r>
            <w:r w:rsidRPr="00BB53C0">
              <w:rPr>
                <w:rFonts w:ascii="Arial" w:hAnsi="Arial" w:cs="Arial"/>
                <w:sz w:val="18"/>
                <w:szCs w:val="18"/>
              </w:rPr>
              <w:t xml:space="preserve"> Dr. Plácido Marín, </w:t>
            </w:r>
            <w:r w:rsidR="005F7288" w:rsidRPr="00BB53C0">
              <w:rPr>
                <w:rFonts w:ascii="Arial" w:hAnsi="Arial" w:cs="Arial"/>
                <w:sz w:val="18"/>
                <w:szCs w:val="18"/>
              </w:rPr>
              <w:t>Argentina</w:t>
            </w:r>
          </w:p>
          <w:p w14:paraId="27D78E83"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Argentina</w:t>
            </w:r>
          </w:p>
        </w:tc>
        <w:tc>
          <w:tcPr>
            <w:tcW w:w="1135" w:type="dxa"/>
            <w:tcBorders>
              <w:top w:val="single" w:sz="4" w:space="0" w:color="000000"/>
              <w:left w:val="single" w:sz="4" w:space="0" w:color="000000"/>
              <w:bottom w:val="single" w:sz="4" w:space="0" w:color="000000"/>
            </w:tcBorders>
            <w:shd w:val="clear" w:color="auto" w:fill="auto"/>
          </w:tcPr>
          <w:p w14:paraId="13830299"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30 de setiembre</w:t>
            </w:r>
          </w:p>
        </w:tc>
        <w:tc>
          <w:tcPr>
            <w:tcW w:w="1276" w:type="dxa"/>
            <w:tcBorders>
              <w:top w:val="single" w:sz="4" w:space="0" w:color="000000"/>
              <w:left w:val="single" w:sz="4" w:space="0" w:color="000000"/>
              <w:bottom w:val="single" w:sz="4" w:space="0" w:color="000000"/>
            </w:tcBorders>
            <w:shd w:val="clear" w:color="auto" w:fill="auto"/>
          </w:tcPr>
          <w:p w14:paraId="2407543E"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Jovanna Calderón Altamirano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8378BE4"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r w:rsidR="00E01CA0" w:rsidRPr="00BB53C0" w14:paraId="73D653F0" w14:textId="77777777" w:rsidTr="00E01CA0">
        <w:tc>
          <w:tcPr>
            <w:tcW w:w="4942" w:type="dxa"/>
            <w:tcBorders>
              <w:top w:val="single" w:sz="4" w:space="0" w:color="000000"/>
              <w:left w:val="single" w:sz="4" w:space="0" w:color="000000"/>
              <w:bottom w:val="single" w:sz="4" w:space="0" w:color="000000"/>
            </w:tcBorders>
            <w:shd w:val="clear" w:color="auto" w:fill="auto"/>
          </w:tcPr>
          <w:p w14:paraId="5EB23871"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Charlas a profesionales que ejecutan medidas alternativas y sanciones penales juveniles en medio libre de la Corporación Opción, Chile.</w:t>
            </w:r>
          </w:p>
          <w:p w14:paraId="762C205D"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sz w:val="18"/>
                <w:szCs w:val="18"/>
              </w:rPr>
              <w:t>Invita: Grupo Opción por los derechos de los niños y Niñas</w:t>
            </w:r>
          </w:p>
        </w:tc>
        <w:tc>
          <w:tcPr>
            <w:tcW w:w="1135" w:type="dxa"/>
            <w:tcBorders>
              <w:top w:val="single" w:sz="4" w:space="0" w:color="000000"/>
              <w:left w:val="single" w:sz="4" w:space="0" w:color="000000"/>
              <w:bottom w:val="single" w:sz="4" w:space="0" w:color="000000"/>
            </w:tcBorders>
            <w:shd w:val="clear" w:color="auto" w:fill="auto"/>
          </w:tcPr>
          <w:p w14:paraId="15E27D68" w14:textId="77777777" w:rsidR="00E01CA0" w:rsidRPr="00BB53C0" w:rsidRDefault="00E01CA0" w:rsidP="00E01CA0">
            <w:pPr>
              <w:snapToGrid w:val="0"/>
              <w:spacing w:after="0" w:line="240" w:lineRule="auto"/>
              <w:rPr>
                <w:rFonts w:ascii="Arial" w:hAnsi="Arial" w:cs="Arial"/>
                <w:color w:val="000000"/>
                <w:sz w:val="18"/>
                <w:szCs w:val="18"/>
              </w:rPr>
            </w:pPr>
          </w:p>
          <w:p w14:paraId="2CF1CEBB"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 xml:space="preserve">7 de octubre </w:t>
            </w:r>
          </w:p>
        </w:tc>
        <w:tc>
          <w:tcPr>
            <w:tcW w:w="1276" w:type="dxa"/>
            <w:tcBorders>
              <w:top w:val="single" w:sz="4" w:space="0" w:color="000000"/>
              <w:left w:val="single" w:sz="4" w:space="0" w:color="000000"/>
              <w:bottom w:val="single" w:sz="4" w:space="0" w:color="000000"/>
            </w:tcBorders>
            <w:shd w:val="clear" w:color="auto" w:fill="auto"/>
          </w:tcPr>
          <w:p w14:paraId="5394AE81"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Lourdes Espinach Rueda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9F76B26"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r w:rsidR="00E01CA0" w:rsidRPr="00BB53C0" w14:paraId="2F049614" w14:textId="77777777" w:rsidTr="00E01CA0">
        <w:tc>
          <w:tcPr>
            <w:tcW w:w="4942" w:type="dxa"/>
            <w:tcBorders>
              <w:top w:val="single" w:sz="4" w:space="0" w:color="000000"/>
              <w:left w:val="single" w:sz="4" w:space="0" w:color="000000"/>
              <w:bottom w:val="single" w:sz="4" w:space="0" w:color="000000"/>
            </w:tcBorders>
            <w:shd w:val="clear" w:color="auto" w:fill="auto"/>
          </w:tcPr>
          <w:p w14:paraId="005F14CE"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201F1E"/>
                <w:sz w:val="18"/>
                <w:szCs w:val="18"/>
                <w:highlight w:val="white"/>
              </w:rPr>
              <w:t xml:space="preserve"> III Foro Latinoamericano de Justicia Juvenil Restaurativa </w:t>
            </w:r>
          </w:p>
          <w:p w14:paraId="5AADC4A1"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201F1E"/>
                <w:sz w:val="18"/>
                <w:szCs w:val="18"/>
                <w:shd w:val="clear" w:color="auto" w:fill="FFFFFF"/>
              </w:rPr>
              <w:t xml:space="preserve">Invita: </w:t>
            </w:r>
            <w:r w:rsidRPr="00BB53C0">
              <w:rPr>
                <w:rFonts w:ascii="Arial" w:hAnsi="Arial" w:cs="Arial"/>
                <w:color w:val="333333"/>
                <w:sz w:val="18"/>
                <w:szCs w:val="18"/>
                <w:shd w:val="clear" w:color="auto" w:fill="FFFFFF"/>
              </w:rPr>
              <w:t>Asociación Latinoamericana de magistrados, funcionarios, profesionales y operadores de Niñez, Adolescencia y Familia</w:t>
            </w:r>
          </w:p>
          <w:p w14:paraId="575D2B41"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b/>
                <w:bCs/>
                <w:color w:val="201F1E"/>
                <w:sz w:val="18"/>
                <w:szCs w:val="18"/>
                <w:shd w:val="clear" w:color="auto" w:fill="FFFFFF"/>
              </w:rPr>
              <w:t>(ALAMFPYONAF), Argentina</w:t>
            </w:r>
          </w:p>
        </w:tc>
        <w:tc>
          <w:tcPr>
            <w:tcW w:w="1135" w:type="dxa"/>
            <w:tcBorders>
              <w:top w:val="single" w:sz="4" w:space="0" w:color="000000"/>
              <w:left w:val="single" w:sz="4" w:space="0" w:color="000000"/>
              <w:bottom w:val="single" w:sz="4" w:space="0" w:color="000000"/>
            </w:tcBorders>
            <w:shd w:val="clear" w:color="auto" w:fill="auto"/>
          </w:tcPr>
          <w:p w14:paraId="2C5151E1"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16-17 de octubre</w:t>
            </w:r>
          </w:p>
        </w:tc>
        <w:tc>
          <w:tcPr>
            <w:tcW w:w="1276" w:type="dxa"/>
            <w:tcBorders>
              <w:top w:val="single" w:sz="4" w:space="0" w:color="000000"/>
              <w:left w:val="single" w:sz="4" w:space="0" w:color="000000"/>
              <w:bottom w:val="single" w:sz="4" w:space="0" w:color="000000"/>
            </w:tcBorders>
            <w:shd w:val="clear" w:color="auto" w:fill="auto"/>
          </w:tcPr>
          <w:p w14:paraId="46BEE27B"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Lourdes Espinach Rueda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40355F0"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r w:rsidR="00E01CA0" w:rsidRPr="00BB53C0" w14:paraId="520E5D77" w14:textId="77777777" w:rsidTr="00E01CA0">
        <w:tc>
          <w:tcPr>
            <w:tcW w:w="4942" w:type="dxa"/>
            <w:tcBorders>
              <w:top w:val="single" w:sz="4" w:space="0" w:color="000000"/>
              <w:left w:val="single" w:sz="4" w:space="0" w:color="000000"/>
              <w:bottom w:val="single" w:sz="4" w:space="0" w:color="000000"/>
            </w:tcBorders>
            <w:shd w:val="clear" w:color="auto" w:fill="auto"/>
          </w:tcPr>
          <w:p w14:paraId="5DFE5874"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000000"/>
                <w:sz w:val="18"/>
                <w:szCs w:val="18"/>
                <w:shd w:val="clear" w:color="auto" w:fill="FFFFFF"/>
              </w:rPr>
              <w:t> </w:t>
            </w:r>
            <w:r w:rsidRPr="00BB53C0">
              <w:rPr>
                <w:rFonts w:ascii="Arial" w:hAnsi="Arial" w:cs="Arial"/>
                <w:sz w:val="18"/>
                <w:szCs w:val="18"/>
              </w:rPr>
              <w:t>Conversatorio</w:t>
            </w:r>
            <w:r w:rsidRPr="00BB53C0">
              <w:rPr>
                <w:rFonts w:ascii="Arial" w:hAnsi="Arial" w:cs="Arial"/>
                <w:color w:val="000000"/>
                <w:sz w:val="18"/>
                <w:szCs w:val="18"/>
                <w:shd w:val="clear" w:color="auto" w:fill="FFFFFF"/>
              </w:rPr>
              <w:t> Mejores prácticas y desafíos de Justicia Restaurativa en etapa de ejecución. México-Costa Rica</w:t>
            </w:r>
          </w:p>
          <w:p w14:paraId="01943628" w14:textId="77777777" w:rsidR="00E01CA0" w:rsidRPr="00BB53C0" w:rsidRDefault="00E01CA0" w:rsidP="00E01CA0">
            <w:pPr>
              <w:pStyle w:val="xmsonormal"/>
              <w:shd w:val="clear" w:color="auto" w:fill="FFFFFF"/>
              <w:spacing w:before="0" w:after="0"/>
              <w:ind w:right="49"/>
              <w:jc w:val="both"/>
              <w:rPr>
                <w:rFonts w:ascii="Arial" w:hAnsi="Arial" w:cs="Arial"/>
                <w:sz w:val="18"/>
                <w:szCs w:val="18"/>
              </w:rPr>
            </w:pPr>
            <w:r w:rsidRPr="00BB53C0">
              <w:rPr>
                <w:rFonts w:ascii="Arial" w:hAnsi="Arial" w:cs="Arial"/>
                <w:color w:val="000000"/>
                <w:sz w:val="18"/>
                <w:szCs w:val="18"/>
                <w:highlight w:val="white"/>
              </w:rPr>
              <w:t>Invita: Poder Judicial de México y Costa Rica</w:t>
            </w:r>
          </w:p>
        </w:tc>
        <w:tc>
          <w:tcPr>
            <w:tcW w:w="1135" w:type="dxa"/>
            <w:tcBorders>
              <w:top w:val="single" w:sz="4" w:space="0" w:color="000000"/>
              <w:left w:val="single" w:sz="4" w:space="0" w:color="000000"/>
              <w:bottom w:val="single" w:sz="4" w:space="0" w:color="000000"/>
            </w:tcBorders>
            <w:shd w:val="clear" w:color="auto" w:fill="auto"/>
          </w:tcPr>
          <w:p w14:paraId="2DEE521B"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color w:val="000000"/>
                <w:sz w:val="18"/>
                <w:szCs w:val="18"/>
              </w:rPr>
              <w:t xml:space="preserve">4 de noviembre </w:t>
            </w:r>
          </w:p>
        </w:tc>
        <w:tc>
          <w:tcPr>
            <w:tcW w:w="1276" w:type="dxa"/>
            <w:tcBorders>
              <w:top w:val="single" w:sz="4" w:space="0" w:color="000000"/>
              <w:left w:val="single" w:sz="4" w:space="0" w:color="000000"/>
              <w:bottom w:val="single" w:sz="4" w:space="0" w:color="000000"/>
            </w:tcBorders>
            <w:shd w:val="clear" w:color="auto" w:fill="auto"/>
          </w:tcPr>
          <w:p w14:paraId="2AD0AAC8" w14:textId="77777777" w:rsidR="00E01CA0" w:rsidRPr="00BB53C0" w:rsidRDefault="00E01CA0" w:rsidP="00E01CA0">
            <w:pPr>
              <w:spacing w:after="0" w:line="240" w:lineRule="auto"/>
              <w:rPr>
                <w:rFonts w:ascii="Arial" w:hAnsi="Arial" w:cs="Arial"/>
                <w:sz w:val="18"/>
                <w:szCs w:val="18"/>
              </w:rPr>
            </w:pPr>
            <w:r w:rsidRPr="00BB53C0">
              <w:rPr>
                <w:rFonts w:ascii="Arial" w:hAnsi="Arial" w:cs="Arial"/>
                <w:sz w:val="18"/>
                <w:szCs w:val="18"/>
              </w:rPr>
              <w:t>Adriana Ramírez</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23478E3" w14:textId="77777777" w:rsidR="00E01CA0" w:rsidRPr="00BB53C0" w:rsidRDefault="00E01CA0" w:rsidP="00E01CA0">
            <w:pPr>
              <w:snapToGrid w:val="0"/>
              <w:spacing w:after="0" w:line="240" w:lineRule="auto"/>
              <w:rPr>
                <w:rFonts w:ascii="Arial" w:hAnsi="Arial" w:cs="Arial"/>
                <w:b/>
                <w:bCs/>
                <w:color w:val="201F1E"/>
                <w:sz w:val="18"/>
                <w:szCs w:val="18"/>
                <w:lang w:val="es-ES"/>
              </w:rPr>
            </w:pPr>
          </w:p>
        </w:tc>
      </w:tr>
    </w:tbl>
    <w:p w14:paraId="0C247AE2" w14:textId="77777777" w:rsidR="00E01CA0" w:rsidRPr="00BB53C0" w:rsidRDefault="00E01CA0" w:rsidP="00E01CA0">
      <w:pPr>
        <w:spacing w:after="0" w:line="240" w:lineRule="auto"/>
        <w:jc w:val="both"/>
        <w:rPr>
          <w:rFonts w:ascii="Arial" w:hAnsi="Arial" w:cs="Arial"/>
          <w:sz w:val="24"/>
          <w:szCs w:val="24"/>
        </w:rPr>
      </w:pPr>
    </w:p>
    <w:p w14:paraId="6E8AE765" w14:textId="24EAD58D" w:rsidR="00E01CA0" w:rsidRPr="00BB53C0" w:rsidRDefault="00E01CA0" w:rsidP="008D6AC5">
      <w:pPr>
        <w:spacing w:after="0" w:line="360" w:lineRule="auto"/>
        <w:jc w:val="both"/>
        <w:rPr>
          <w:rFonts w:ascii="Arial" w:hAnsi="Arial" w:cs="Arial"/>
          <w:color w:val="FFFFFF" w:themeColor="background1"/>
        </w:rPr>
      </w:pPr>
      <w:r w:rsidRPr="00BB53C0">
        <w:rPr>
          <w:rFonts w:ascii="Arial" w:hAnsi="Arial" w:cs="Arial"/>
          <w:sz w:val="24"/>
          <w:szCs w:val="24"/>
        </w:rPr>
        <w:t xml:space="preserve">En el año 2020, se </w:t>
      </w:r>
      <w:r w:rsidR="00210D92" w:rsidRPr="00BB53C0">
        <w:rPr>
          <w:rFonts w:ascii="Arial" w:hAnsi="Arial" w:cs="Arial"/>
          <w:sz w:val="24"/>
          <w:szCs w:val="24"/>
        </w:rPr>
        <w:t>continúa</w:t>
      </w:r>
      <w:r w:rsidRPr="00BB53C0">
        <w:rPr>
          <w:rFonts w:ascii="Arial" w:hAnsi="Arial" w:cs="Arial"/>
          <w:sz w:val="24"/>
          <w:szCs w:val="24"/>
        </w:rPr>
        <w:t xml:space="preserve"> integrando el Grupo de Trabajo Especializado de Justicia Restaurativa en el marco de del Consejo Judicial Centroamericano y del Caribe. El grupo fue coordinado por Guatemala, desarrolló una serie de borradores de instrumentos de actuación, que se encuentran con observaciones de los diferentes países integrantes, pendientes de su validación. Los instrumentos de actuación son: Guía para la aplicación de métodos alternos y justicia restaurativa. Diseño Curricular para la capacitación de operadores penal juvenil para la aplicación de la guía. Perfil de personas facilitadoras, mediadoras y conciliadoras. Perfil de profesional en psicología. Perfil de persona profesional en trabajo social. Perfil de persona pedagoga. Glosario de conceptos. Propiamente desde Costa Rica:</w:t>
      </w:r>
      <w:r w:rsidRPr="00BB53C0">
        <w:rPr>
          <w:rFonts w:ascii="Arial" w:hAnsi="Arial" w:cs="Arial"/>
        </w:rPr>
        <w:t xml:space="preserve"> </w:t>
      </w:r>
    </w:p>
    <w:p w14:paraId="61DC0FD7" w14:textId="77777777" w:rsidR="00E01CA0" w:rsidRPr="00BB53C0" w:rsidRDefault="00E01CA0" w:rsidP="00C10ACE">
      <w:pPr>
        <w:pStyle w:val="Prrafodelista"/>
        <w:numPr>
          <w:ilvl w:val="0"/>
          <w:numId w:val="21"/>
        </w:numPr>
        <w:spacing w:after="0" w:line="360" w:lineRule="auto"/>
        <w:jc w:val="both"/>
        <w:rPr>
          <w:rFonts w:ascii="Arial" w:hAnsi="Arial" w:cs="Arial"/>
          <w:sz w:val="24"/>
          <w:szCs w:val="24"/>
        </w:rPr>
      </w:pPr>
      <w:r w:rsidRPr="00BB53C0">
        <w:rPr>
          <w:rFonts w:ascii="Arial" w:hAnsi="Arial" w:cs="Arial"/>
          <w:sz w:val="24"/>
          <w:szCs w:val="24"/>
        </w:rPr>
        <w:t>Se participó de videoconferencia, donde se inició la validación de la Guía; durante el mes de marzo.</w:t>
      </w:r>
    </w:p>
    <w:p w14:paraId="52589893" w14:textId="77777777" w:rsidR="00E01CA0" w:rsidRPr="00BB53C0" w:rsidRDefault="00E01CA0" w:rsidP="00C10ACE">
      <w:pPr>
        <w:pStyle w:val="Prrafodelista"/>
        <w:numPr>
          <w:ilvl w:val="0"/>
          <w:numId w:val="21"/>
        </w:numPr>
        <w:spacing w:after="0" w:line="360" w:lineRule="auto"/>
        <w:jc w:val="both"/>
        <w:rPr>
          <w:rFonts w:ascii="Arial" w:hAnsi="Arial" w:cs="Arial"/>
          <w:sz w:val="24"/>
          <w:szCs w:val="24"/>
        </w:rPr>
      </w:pPr>
      <w:r w:rsidRPr="00BB53C0">
        <w:rPr>
          <w:rFonts w:ascii="Arial" w:hAnsi="Arial" w:cs="Arial"/>
          <w:sz w:val="24"/>
          <w:szCs w:val="24"/>
        </w:rPr>
        <w:t xml:space="preserve">Se mantuvo una reunión con Guatemala para ampliar sobre la solicitud de revisión de instrumentos que estaban solicitando; en el mes de julio.  </w:t>
      </w:r>
    </w:p>
    <w:p w14:paraId="2BE227B4" w14:textId="77777777" w:rsidR="00E01CA0" w:rsidRPr="00BB53C0" w:rsidRDefault="00E01CA0" w:rsidP="00C10ACE">
      <w:pPr>
        <w:pStyle w:val="Prrafodelista"/>
        <w:numPr>
          <w:ilvl w:val="0"/>
          <w:numId w:val="21"/>
        </w:numPr>
        <w:spacing w:after="0" w:line="360" w:lineRule="auto"/>
        <w:jc w:val="both"/>
        <w:rPr>
          <w:rFonts w:ascii="Arial" w:hAnsi="Arial" w:cs="Arial"/>
          <w:sz w:val="24"/>
          <w:szCs w:val="24"/>
        </w:rPr>
      </w:pPr>
      <w:r w:rsidRPr="00BB53C0">
        <w:rPr>
          <w:rFonts w:ascii="Arial" w:hAnsi="Arial" w:cs="Arial"/>
          <w:sz w:val="24"/>
          <w:szCs w:val="24"/>
        </w:rPr>
        <w:t xml:space="preserve">Se revisaron los instrumentos de guía, diseño curricular, perfil de la persona profesional en trabajo social y perfil de la persona mediadora; se les realizaron las respectivas observaciones en el mes de agosto. </w:t>
      </w:r>
    </w:p>
    <w:p w14:paraId="1E19F83D" w14:textId="77777777" w:rsidR="00E01CA0" w:rsidRPr="00BB53C0" w:rsidRDefault="00E01CA0" w:rsidP="00C10ACE">
      <w:pPr>
        <w:pStyle w:val="Prrafodelista"/>
        <w:numPr>
          <w:ilvl w:val="0"/>
          <w:numId w:val="21"/>
        </w:numPr>
        <w:spacing w:after="0" w:line="360" w:lineRule="auto"/>
        <w:jc w:val="both"/>
        <w:rPr>
          <w:rFonts w:ascii="Arial" w:hAnsi="Arial" w:cs="Arial"/>
          <w:sz w:val="24"/>
          <w:szCs w:val="24"/>
        </w:rPr>
      </w:pPr>
      <w:r w:rsidRPr="00BB53C0">
        <w:rPr>
          <w:rFonts w:ascii="Arial" w:hAnsi="Arial" w:cs="Arial"/>
          <w:sz w:val="24"/>
          <w:szCs w:val="24"/>
        </w:rPr>
        <w:t xml:space="preserve">Se reiteraron las observaciones realizadas en el mes de agosto y se revisaron los instrumentos: perfil de persona psicóloga, de pedagoga y el glosario de conceptos, así como el informe final de trabajo del grupo bajo la coordinación de Guatemala, realizando las respectivas observaciones en el mes de octubre. </w:t>
      </w:r>
    </w:p>
    <w:p w14:paraId="6554F973" w14:textId="77777777" w:rsidR="00E01CA0" w:rsidRPr="00BB53C0" w:rsidRDefault="00E01CA0" w:rsidP="00C10ACE">
      <w:pPr>
        <w:pStyle w:val="Prrafodelista"/>
        <w:numPr>
          <w:ilvl w:val="0"/>
          <w:numId w:val="21"/>
        </w:numPr>
        <w:spacing w:after="0" w:line="360" w:lineRule="auto"/>
        <w:jc w:val="both"/>
        <w:rPr>
          <w:rFonts w:ascii="Arial" w:hAnsi="Arial" w:cs="Arial"/>
          <w:color w:val="FFFFFF" w:themeColor="background1"/>
        </w:rPr>
      </w:pPr>
      <w:r w:rsidRPr="00BB53C0">
        <w:rPr>
          <w:rFonts w:ascii="Arial" w:hAnsi="Arial" w:cs="Arial"/>
          <w:sz w:val="24"/>
          <w:szCs w:val="24"/>
        </w:rPr>
        <w:t xml:space="preserve">Se participó en la reunión de finalización de gestión de la coordinación de Guatemala, en el pasado mes de octubre.  </w:t>
      </w:r>
      <w:r w:rsidRPr="00BB53C0">
        <w:rPr>
          <w:rFonts w:ascii="Arial" w:hAnsi="Arial" w:cs="Arial"/>
        </w:rPr>
        <w:t xml:space="preserve"> </w:t>
      </w:r>
    </w:p>
    <w:p w14:paraId="07F2A0F3"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   </w:t>
      </w:r>
    </w:p>
    <w:p w14:paraId="02153A89"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En este año 2020, se realizó el Congreso Internacional de Justicia Restaurativa, primero que se organiza desde el Poder Judicial de Costa Rica, para ello la Dirección Nacional de Justicia Restaurativa contó con el apoyo de la Escuela Judicial y la Dirección de Tecnología de la Información. Producto de la participación del Señor Magistrado Gerardo Rubén Alfaro Vargas en el mes de marzo en México, así como los enlaces que se lograron en el Proyecto que financió la Unión Europea, se contó con conferencistas de Brasil, México, Argentina, Colombia, y además con las ponencias de las personas funcionarias expertas en Justicia Restaurativa de Costa Rica. El Congreso giró en torno a la nueva realidad y los servicios de Justicia Restaurativa en tiempos de la COVID-19, la implementación de la virtualidad. Con un público de aproximadamente 175 personas durante los 3 días de actividad.</w:t>
      </w:r>
    </w:p>
    <w:p w14:paraId="03734C5A" w14:textId="77777777" w:rsidR="00E01CA0" w:rsidRPr="00BB53C0" w:rsidRDefault="00E01CA0" w:rsidP="00E01CA0">
      <w:pPr>
        <w:spacing w:line="240" w:lineRule="auto"/>
        <w:jc w:val="center"/>
        <w:rPr>
          <w:rFonts w:ascii="Arial" w:hAnsi="Arial" w:cs="Arial"/>
          <w:sz w:val="24"/>
          <w:szCs w:val="24"/>
        </w:rPr>
      </w:pPr>
      <w:r w:rsidRPr="00BB53C0">
        <w:rPr>
          <w:rFonts w:ascii="Arial" w:hAnsi="Arial" w:cs="Arial"/>
          <w:noProof/>
        </w:rPr>
        <w:drawing>
          <wp:inline distT="0" distB="0" distL="0" distR="0" wp14:anchorId="761EF105" wp14:editId="1C114C59">
            <wp:extent cx="4192270" cy="2358390"/>
            <wp:effectExtent l="0" t="0" r="0" b="0"/>
            <wp:docPr id="63" name="Imagen8" descr="C:\Users\jcalderona\AppData\Local\Temp\image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8" descr="C:\Users\jcalderona\AppData\Local\Temp\image001 (1).jpg"/>
                    <pic:cNvPicPr>
                      <a:picLocks noChangeAspect="1" noChangeArrowheads="1"/>
                    </pic:cNvPicPr>
                  </pic:nvPicPr>
                  <pic:blipFill>
                    <a:blip r:embed="rId70"/>
                    <a:stretch>
                      <a:fillRect/>
                    </a:stretch>
                  </pic:blipFill>
                  <pic:spPr bwMode="auto">
                    <a:xfrm>
                      <a:off x="0" y="0"/>
                      <a:ext cx="4192270" cy="2358390"/>
                    </a:xfrm>
                    <a:prstGeom prst="rect">
                      <a:avLst/>
                    </a:prstGeom>
                  </pic:spPr>
                </pic:pic>
              </a:graphicData>
            </a:graphic>
          </wp:inline>
        </w:drawing>
      </w:r>
    </w:p>
    <w:p w14:paraId="7944BD1C" w14:textId="77777777" w:rsidR="00E01CA0" w:rsidRPr="00BB53C0" w:rsidRDefault="00E01CA0" w:rsidP="00E01CA0">
      <w:pPr>
        <w:spacing w:line="240" w:lineRule="auto"/>
        <w:jc w:val="both"/>
        <w:rPr>
          <w:rFonts w:ascii="Arial" w:hAnsi="Arial" w:cs="Arial"/>
          <w:sz w:val="24"/>
          <w:szCs w:val="24"/>
        </w:rPr>
      </w:pPr>
    </w:p>
    <w:p w14:paraId="5D17D6A5" w14:textId="77777777" w:rsidR="00E01CA0" w:rsidRPr="00BB53C0" w:rsidRDefault="00E01CA0" w:rsidP="00C10ACE">
      <w:pPr>
        <w:pStyle w:val="Prrafodelista"/>
        <w:numPr>
          <w:ilvl w:val="0"/>
          <w:numId w:val="17"/>
        </w:numPr>
        <w:spacing w:after="160" w:line="360" w:lineRule="auto"/>
        <w:rPr>
          <w:rFonts w:ascii="Arial" w:hAnsi="Arial" w:cs="Arial"/>
          <w:b/>
          <w:sz w:val="24"/>
          <w:szCs w:val="24"/>
        </w:rPr>
      </w:pPr>
      <w:r w:rsidRPr="00BB53C0">
        <w:rPr>
          <w:rFonts w:ascii="Arial" w:hAnsi="Arial" w:cs="Arial"/>
          <w:b/>
          <w:sz w:val="24"/>
          <w:szCs w:val="24"/>
        </w:rPr>
        <w:t>Cooperación Internacional.</w:t>
      </w:r>
    </w:p>
    <w:p w14:paraId="76924FD4"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El crecimiento y consolidación de los procesos restaurativos ha estado de la mano con la cooperación internacional desde sus inicios en el año 2012. Actualmente no es la excepción, en el año 2020: se realizó la ejecución del Proyecto Corte-Embajada USA-NCSC sobre Justicia Juvenil Restaurativa con el financiamiento de la Embajada de los Estados Unidos de América en Costa Rica, que finaliza en febrero del 2021; se inició con el Proyecto Fortalecimiento de Penal Juvenil y Justicia Restaurativa financiado por el Fondo de Naciones Unidas para la Infancia (UNICEF), que tiene previsto culminar en diciembre del año 2021; la fase de cierre del Proyecto Regional de Fortalecimiento de la Justicia Restaurativa que contó con el auspicio del Programa ADELANTE de la Unión Europea. Finalmente se logró la aprobación del Proyecto de Creación de Mecanismos Interinstitucional para la promoción de la inserción social de la persona joven en la etapa de ejecución de las sanciones penales juveniles, bajo el financiamiento de EuroSocial+. Todos ellos se explican en el siguiente apartado sobre Proyectos a cargo de la Dirección de Justicia Restaurativa. </w:t>
      </w:r>
    </w:p>
    <w:p w14:paraId="660D7AB0"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En momentos de restricciones presupuestarias y enfrentando una pandemia, la cooperación permitió continuar con capacitaciones; procesos de divulgación; construcción de nuevos instrumentos de actuación; adquirir por medio de donaciones computadoras portátiles, que contribuyen a la participación virtual en las diligencias restaurativas; entre otros aportes para la implementación de la Ley de Justicia Restaurativa. </w:t>
      </w:r>
    </w:p>
    <w:p w14:paraId="2E28A9C0"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Además, las actividades propiciadas con la cooperación, dieron pie a una mayor integración, mantener el servicio de calidad, personal judicial con mejores herramientas y más conocimientos para resolver los asuntos restaurativos. Mayor capacidad a nivel institucional para la formulación y ejecución de proyectos. Enlaces con países como Colombia y México, que se reflejaron en el Primer Congreso Internacional de Justicia Restaurativa organizado por el Poder Judicial, y en el Conversatorio sobre buenas prácticas en fase de ejecución. </w:t>
      </w:r>
    </w:p>
    <w:p w14:paraId="6904EF3B"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 xml:space="preserve">Además en el año 2020 se empiezan a obtener impactos en la comunidad, producto de los procesos de divulgación realizados en los 3 años anteriores con financiamiento de la Unión Europea, como se refleja en la alianza que logró realizar el equipo de Justicia Penal Restaurativa de Puntarenas con la Vice-intendente Municipal de Monteverde, para contar con un espacio físico para reuniones de Alcohólicos Anónimos, que permitió a una persona imputada culminar su procesos restaurativo y liderar dicha organización en este lugar, manifestó la persona usuaria: </w:t>
      </w:r>
    </w:p>
    <w:p w14:paraId="7D5AAB62" w14:textId="77777777" w:rsidR="00E01CA0" w:rsidRPr="00BB53C0" w:rsidRDefault="00E01CA0" w:rsidP="00E01CA0">
      <w:pPr>
        <w:pBdr>
          <w:top w:val="single" w:sz="4" w:space="1" w:color="000000"/>
          <w:left w:val="single" w:sz="4" w:space="4" w:color="000000"/>
          <w:bottom w:val="single" w:sz="4" w:space="1" w:color="000000"/>
          <w:right w:val="single" w:sz="4" w:space="4" w:color="000000"/>
        </w:pBdr>
        <w:shd w:val="clear" w:color="auto" w:fill="DAEEF3" w:themeFill="accent5" w:themeFillTint="33"/>
        <w:spacing w:line="240" w:lineRule="auto"/>
        <w:ind w:left="567" w:right="474"/>
        <w:jc w:val="both"/>
        <w:rPr>
          <w:rFonts w:ascii="Arial" w:hAnsi="Arial" w:cs="Arial"/>
          <w:sz w:val="20"/>
          <w:szCs w:val="20"/>
        </w:rPr>
      </w:pPr>
      <w:r w:rsidRPr="00BB53C0">
        <w:rPr>
          <w:rFonts w:ascii="Arial" w:hAnsi="Arial" w:cs="Arial"/>
          <w:i/>
          <w:sz w:val="20"/>
          <w:szCs w:val="20"/>
        </w:rPr>
        <w:t xml:space="preserve">“La oficina de Justicia Restaurativa me ayudó y me sometí a ir a citas al IAFA y asistir a un grupo de AA por once meses, fue así como encontré compañeros de AA pero no se estaban reuniendo, no había local, pero la municipalidad nos prestó un lugar… fue así como pude lograr la recuperación hasta ahora, gracias a la ayuda de las personas profesionales como la psicóloga…”. </w:t>
      </w:r>
      <w:r w:rsidRPr="00BB53C0">
        <w:rPr>
          <w:rFonts w:ascii="Arial" w:hAnsi="Arial" w:cs="Arial"/>
          <w:sz w:val="20"/>
          <w:szCs w:val="20"/>
        </w:rPr>
        <w:t>(Persona usuaria Justicia Penal Restaurativa, 2020.)</w:t>
      </w:r>
    </w:p>
    <w:p w14:paraId="1A6DBF99" w14:textId="77777777" w:rsidR="00E01CA0" w:rsidRPr="00BB53C0" w:rsidRDefault="00E01CA0" w:rsidP="00E01CA0">
      <w:pPr>
        <w:spacing w:after="0" w:line="240" w:lineRule="auto"/>
        <w:rPr>
          <w:rFonts w:ascii="Arial" w:hAnsi="Arial" w:cs="Arial"/>
          <w:sz w:val="24"/>
          <w:szCs w:val="24"/>
        </w:rPr>
      </w:pPr>
    </w:p>
    <w:p w14:paraId="7F5C00C2" w14:textId="1B652A8C" w:rsidR="00E01CA0" w:rsidRPr="00BB53C0" w:rsidRDefault="00E01CA0" w:rsidP="008D6AC5">
      <w:pPr>
        <w:spacing w:after="0" w:line="360" w:lineRule="auto"/>
        <w:ind w:left="708"/>
        <w:jc w:val="both"/>
        <w:rPr>
          <w:rFonts w:ascii="Arial" w:hAnsi="Arial" w:cs="Arial"/>
          <w:sz w:val="24"/>
          <w:szCs w:val="24"/>
        </w:rPr>
      </w:pPr>
      <w:r w:rsidRPr="00BB53C0">
        <w:rPr>
          <w:rFonts w:ascii="Arial" w:hAnsi="Arial" w:cs="Arial"/>
          <w:b/>
          <w:sz w:val="24"/>
          <w:szCs w:val="24"/>
        </w:rPr>
        <w:t>Proyectos Institucionales a cargo de la Dirección de Justicia Restaurativa</w:t>
      </w:r>
      <w:r w:rsidRPr="00BB53C0">
        <w:rPr>
          <w:rFonts w:ascii="Arial" w:hAnsi="Arial" w:cs="Arial"/>
          <w:sz w:val="24"/>
          <w:szCs w:val="24"/>
        </w:rPr>
        <w:t xml:space="preserve">. </w:t>
      </w:r>
    </w:p>
    <w:p w14:paraId="07960AD1" w14:textId="77777777" w:rsidR="00E01CA0" w:rsidRPr="00BB53C0" w:rsidRDefault="00E01CA0" w:rsidP="008D6AC5">
      <w:pPr>
        <w:spacing w:after="0" w:line="360" w:lineRule="auto"/>
        <w:rPr>
          <w:rFonts w:ascii="Arial" w:hAnsi="Arial" w:cs="Arial"/>
          <w:sz w:val="24"/>
          <w:szCs w:val="24"/>
        </w:rPr>
      </w:pPr>
    </w:p>
    <w:p w14:paraId="22299C9D" w14:textId="77777777" w:rsidR="00E01CA0" w:rsidRPr="00BB53C0" w:rsidRDefault="00E01CA0" w:rsidP="00C10ACE">
      <w:pPr>
        <w:pStyle w:val="Prrafodelista"/>
        <w:numPr>
          <w:ilvl w:val="0"/>
          <w:numId w:val="20"/>
        </w:numPr>
        <w:spacing w:after="0" w:line="360" w:lineRule="auto"/>
        <w:rPr>
          <w:rFonts w:ascii="Arial" w:hAnsi="Arial" w:cs="Arial"/>
          <w:b/>
          <w:sz w:val="24"/>
          <w:szCs w:val="24"/>
        </w:rPr>
      </w:pPr>
      <w:r w:rsidRPr="00BB53C0">
        <w:rPr>
          <w:rFonts w:ascii="Arial" w:hAnsi="Arial" w:cs="Arial"/>
          <w:b/>
          <w:sz w:val="24"/>
          <w:szCs w:val="24"/>
        </w:rPr>
        <w:t xml:space="preserve">Justicia Restaurativa para el bienestar integral del personal judicial. </w:t>
      </w:r>
    </w:p>
    <w:p w14:paraId="3169FEB7" w14:textId="77777777" w:rsidR="00E01CA0" w:rsidRPr="00BB53C0" w:rsidRDefault="00E01CA0" w:rsidP="008D6AC5">
      <w:pPr>
        <w:spacing w:after="0" w:line="360" w:lineRule="auto"/>
        <w:rPr>
          <w:rFonts w:ascii="Arial" w:hAnsi="Arial" w:cs="Arial"/>
          <w:sz w:val="24"/>
          <w:szCs w:val="24"/>
        </w:rPr>
      </w:pPr>
    </w:p>
    <w:p w14:paraId="4A5D777D" w14:textId="77777777" w:rsidR="00E01CA0" w:rsidRPr="00BB53C0" w:rsidRDefault="00E01CA0" w:rsidP="008D6AC5">
      <w:pPr>
        <w:widowControl w:val="0"/>
        <w:spacing w:line="360" w:lineRule="auto"/>
        <w:jc w:val="both"/>
        <w:rPr>
          <w:rFonts w:ascii="Arial" w:hAnsi="Arial" w:cs="Arial"/>
          <w:sz w:val="24"/>
          <w:szCs w:val="24"/>
          <w:lang w:val="es-ES"/>
        </w:rPr>
      </w:pPr>
      <w:r w:rsidRPr="00BB53C0">
        <w:rPr>
          <w:rFonts w:ascii="Arial" w:hAnsi="Arial" w:cs="Arial"/>
          <w:sz w:val="24"/>
          <w:szCs w:val="24"/>
          <w:lang w:val="es-ES"/>
        </w:rPr>
        <w:t xml:space="preserve">A continuación, se presenta la sinopsis, relacionada con el movimiento de trabajo en </w:t>
      </w:r>
      <w:r w:rsidRPr="00BB53C0">
        <w:rPr>
          <w:rFonts w:ascii="Arial" w:hAnsi="Arial" w:cs="Arial"/>
          <w:sz w:val="24"/>
          <w:szCs w:val="24"/>
        </w:rPr>
        <w:t>Justicia Restaurativa para el Bienestar Integral del personal judicial, desde el inicio de labores en el mes de febrero 2020 hasta el mes de octubre</w:t>
      </w:r>
      <w:r w:rsidRPr="00BB53C0">
        <w:rPr>
          <w:rFonts w:ascii="Arial" w:hAnsi="Arial" w:cs="Arial"/>
          <w:sz w:val="24"/>
          <w:szCs w:val="24"/>
          <w:lang w:val="es-ES"/>
        </w:rPr>
        <w:t xml:space="preserve"> 2020.</w:t>
      </w:r>
    </w:p>
    <w:p w14:paraId="7EBDDB69" w14:textId="77777777" w:rsidR="00E01CA0" w:rsidRPr="00BB53C0" w:rsidRDefault="00E01CA0" w:rsidP="00C10ACE">
      <w:pPr>
        <w:widowControl w:val="0"/>
        <w:numPr>
          <w:ilvl w:val="0"/>
          <w:numId w:val="18"/>
        </w:numPr>
        <w:spacing w:after="0" w:line="360" w:lineRule="auto"/>
        <w:ind w:left="426" w:hanging="426"/>
        <w:jc w:val="both"/>
        <w:rPr>
          <w:rFonts w:ascii="Arial" w:hAnsi="Arial" w:cs="Arial"/>
          <w:b/>
          <w:color w:val="1F497D" w:themeColor="text2"/>
          <w:sz w:val="24"/>
          <w:szCs w:val="24"/>
          <w:lang w:val="es-ES"/>
        </w:rPr>
      </w:pPr>
      <w:r w:rsidRPr="00BB53C0">
        <w:rPr>
          <w:rFonts w:ascii="Arial" w:hAnsi="Arial" w:cs="Arial"/>
          <w:b/>
          <w:bCs/>
          <w:sz w:val="24"/>
          <w:szCs w:val="24"/>
          <w:lang w:val="es-ES"/>
        </w:rPr>
        <w:t>Antecedentes</w:t>
      </w:r>
    </w:p>
    <w:p w14:paraId="549745A7" w14:textId="77777777" w:rsidR="00E01CA0" w:rsidRPr="00BB53C0" w:rsidRDefault="00E01CA0" w:rsidP="00C10ACE">
      <w:pPr>
        <w:pStyle w:val="Prrafodelista"/>
        <w:numPr>
          <w:ilvl w:val="0"/>
          <w:numId w:val="17"/>
        </w:numPr>
        <w:spacing w:after="0" w:line="360" w:lineRule="auto"/>
        <w:jc w:val="both"/>
        <w:rPr>
          <w:rFonts w:ascii="Arial" w:hAnsi="Arial" w:cs="Arial"/>
          <w:sz w:val="24"/>
          <w:szCs w:val="24"/>
        </w:rPr>
      </w:pPr>
      <w:r w:rsidRPr="00BB53C0">
        <w:rPr>
          <w:rFonts w:ascii="Arial" w:hAnsi="Arial" w:cs="Arial"/>
          <w:sz w:val="24"/>
          <w:szCs w:val="24"/>
        </w:rPr>
        <w:t>El procedimiento de Justicia Restaurativa para el Bienestar Integral del personal judicial</w:t>
      </w:r>
      <w:r w:rsidRPr="00BB53C0">
        <w:rPr>
          <w:rFonts w:ascii="Arial" w:hAnsi="Arial" w:cs="Arial"/>
          <w:sz w:val="24"/>
          <w:szCs w:val="24"/>
          <w:lang w:val="es-ES"/>
        </w:rPr>
        <w:t xml:space="preserve"> se crea y regula mediante Reglamento aprobado por Corte Plena en la Sesión N° 41-19 celebrada el 30 de septiembre de 2020, Artículo XIV y se basa en los </w:t>
      </w:r>
      <w:r w:rsidRPr="00BB53C0">
        <w:rPr>
          <w:rFonts w:ascii="Arial" w:hAnsi="Arial" w:cs="Arial"/>
          <w:sz w:val="24"/>
          <w:szCs w:val="24"/>
        </w:rPr>
        <w:t>principios y valores restaurativos.</w:t>
      </w:r>
    </w:p>
    <w:p w14:paraId="4A57F0E8" w14:textId="77777777" w:rsidR="00E01CA0" w:rsidRPr="00BB53C0" w:rsidRDefault="00E01CA0" w:rsidP="00C10ACE">
      <w:pPr>
        <w:pStyle w:val="Prrafodelista"/>
        <w:numPr>
          <w:ilvl w:val="0"/>
          <w:numId w:val="17"/>
        </w:numPr>
        <w:spacing w:after="0" w:line="360" w:lineRule="auto"/>
        <w:jc w:val="both"/>
        <w:rPr>
          <w:rFonts w:ascii="Arial" w:hAnsi="Arial" w:cs="Arial"/>
          <w:sz w:val="24"/>
          <w:szCs w:val="24"/>
        </w:rPr>
      </w:pPr>
      <w:r w:rsidRPr="00BB53C0">
        <w:rPr>
          <w:rFonts w:ascii="Arial" w:hAnsi="Arial" w:cs="Arial"/>
          <w:sz w:val="24"/>
          <w:szCs w:val="24"/>
        </w:rPr>
        <w:t xml:space="preserve">El equipo interdisciplinario de Justicia Restaurativa para el Bienestar Integral del personal judicial brinda un abordaje integral centrado en la persona funcionaria y no en la conducta sancionable, generando un cambio de paradigma en la resolución de conflictos disciplinarios a lo interno del Poder Judicial. </w:t>
      </w:r>
    </w:p>
    <w:p w14:paraId="2AC1DAEF" w14:textId="77777777" w:rsidR="00E01CA0" w:rsidRPr="00BB53C0" w:rsidRDefault="00E01CA0" w:rsidP="00C10ACE">
      <w:pPr>
        <w:pStyle w:val="Prrafodelista"/>
        <w:numPr>
          <w:ilvl w:val="0"/>
          <w:numId w:val="17"/>
        </w:numPr>
        <w:tabs>
          <w:tab w:val="left" w:pos="110"/>
        </w:tabs>
        <w:spacing w:line="360" w:lineRule="auto"/>
        <w:jc w:val="both"/>
        <w:rPr>
          <w:rFonts w:ascii="Arial" w:hAnsi="Arial" w:cs="Arial"/>
          <w:sz w:val="24"/>
          <w:szCs w:val="24"/>
          <w:lang w:val="es-ES"/>
        </w:rPr>
      </w:pPr>
      <w:r w:rsidRPr="00BB53C0">
        <w:rPr>
          <w:rFonts w:ascii="Arial" w:hAnsi="Arial" w:cs="Arial"/>
          <w:sz w:val="24"/>
          <w:szCs w:val="24"/>
        </w:rPr>
        <w:t xml:space="preserve">La atención de casos por parte del equipo interdisciplinario inició en el mes de febrero 2020 como un plan piloto de tres años y con cobertura en el Gran Área Metropolitana (Ver </w:t>
      </w:r>
      <w:r w:rsidRPr="00BB53C0">
        <w:rPr>
          <w:rFonts w:ascii="Arial" w:hAnsi="Arial" w:cs="Arial"/>
          <w:sz w:val="24"/>
          <w:szCs w:val="24"/>
          <w:lang w:val="es-ES"/>
        </w:rPr>
        <w:t xml:space="preserve">artículo </w:t>
      </w:r>
      <w:r w:rsidRPr="00BB53C0">
        <w:rPr>
          <w:rFonts w:ascii="Arial" w:hAnsi="Arial" w:cs="Arial"/>
          <w:sz w:val="24"/>
          <w:szCs w:val="24"/>
        </w:rPr>
        <w:t xml:space="preserve">49, </w:t>
      </w:r>
      <w:r w:rsidRPr="00BB53C0">
        <w:rPr>
          <w:rFonts w:ascii="Arial" w:hAnsi="Arial" w:cs="Arial"/>
          <w:sz w:val="24"/>
          <w:szCs w:val="24"/>
          <w:lang w:val="es-ES"/>
        </w:rPr>
        <w:t>título III -Disposiciones transitorias- en su capítulo único del reglamento del programa)</w:t>
      </w:r>
      <w:r w:rsidRPr="00BB53C0">
        <w:rPr>
          <w:rFonts w:ascii="Arial" w:hAnsi="Arial" w:cs="Arial"/>
          <w:sz w:val="24"/>
          <w:szCs w:val="24"/>
        </w:rPr>
        <w:t xml:space="preserve">. </w:t>
      </w:r>
    </w:p>
    <w:p w14:paraId="69F8D6D1" w14:textId="77777777" w:rsidR="00E01CA0" w:rsidRPr="00BB53C0" w:rsidRDefault="00E01CA0" w:rsidP="00C10ACE">
      <w:pPr>
        <w:widowControl w:val="0"/>
        <w:numPr>
          <w:ilvl w:val="0"/>
          <w:numId w:val="18"/>
        </w:numPr>
        <w:spacing w:after="0" w:line="360" w:lineRule="auto"/>
        <w:ind w:left="426" w:hanging="426"/>
        <w:jc w:val="both"/>
        <w:rPr>
          <w:rFonts w:ascii="Arial" w:hAnsi="Arial" w:cs="Arial"/>
          <w:b/>
          <w:bCs/>
          <w:color w:val="1F497D" w:themeColor="text2"/>
          <w:sz w:val="24"/>
          <w:szCs w:val="24"/>
          <w:lang w:val="es-ES"/>
        </w:rPr>
      </w:pPr>
      <w:r w:rsidRPr="00BB53C0">
        <w:rPr>
          <w:rFonts w:ascii="Arial" w:hAnsi="Arial" w:cs="Arial"/>
          <w:b/>
          <w:bCs/>
          <w:sz w:val="24"/>
          <w:szCs w:val="24"/>
          <w:lang w:val="es-ES"/>
        </w:rPr>
        <w:t>Resultados</w:t>
      </w:r>
    </w:p>
    <w:p w14:paraId="0A560185" w14:textId="77777777" w:rsidR="00E01CA0" w:rsidRPr="00BB53C0" w:rsidRDefault="00E01CA0" w:rsidP="008D6AC5">
      <w:pPr>
        <w:widowControl w:val="0"/>
        <w:spacing w:line="360" w:lineRule="auto"/>
        <w:jc w:val="both"/>
        <w:rPr>
          <w:rFonts w:ascii="Arial" w:hAnsi="Arial" w:cs="Arial"/>
          <w:sz w:val="24"/>
          <w:szCs w:val="24"/>
          <w:lang w:val="es-ES"/>
        </w:rPr>
      </w:pPr>
      <w:r w:rsidRPr="00BB53C0">
        <w:rPr>
          <w:rFonts w:ascii="Arial" w:hAnsi="Arial" w:cs="Arial"/>
          <w:sz w:val="24"/>
          <w:szCs w:val="24"/>
          <w:lang w:val="es-ES"/>
        </w:rPr>
        <w:t xml:space="preserve">A partir del registro de casos y la información contenida en los controles internos de la Dirección de </w:t>
      </w:r>
      <w:r w:rsidRPr="00BB53C0">
        <w:rPr>
          <w:rFonts w:ascii="Arial" w:hAnsi="Arial" w:cs="Arial"/>
          <w:sz w:val="24"/>
          <w:szCs w:val="24"/>
        </w:rPr>
        <w:t>Justicia Restaurativa, se destacan los siguientes resultados durante los meses de febrero a octubre 2020</w:t>
      </w:r>
      <w:r w:rsidRPr="00BB53C0">
        <w:rPr>
          <w:rFonts w:ascii="Arial" w:hAnsi="Arial" w:cs="Arial"/>
          <w:sz w:val="24"/>
          <w:szCs w:val="24"/>
          <w:lang w:val="es-ES"/>
        </w:rPr>
        <w:t xml:space="preserve">: </w:t>
      </w:r>
    </w:p>
    <w:p w14:paraId="20850CE2" w14:textId="77777777" w:rsidR="00E01CA0" w:rsidRPr="00BB53C0" w:rsidRDefault="00E01CA0" w:rsidP="008D6AC5">
      <w:pPr>
        <w:widowControl w:val="0"/>
        <w:spacing w:after="0" w:line="360" w:lineRule="auto"/>
        <w:jc w:val="center"/>
        <w:rPr>
          <w:rFonts w:ascii="Arial" w:hAnsi="Arial" w:cs="Arial"/>
          <w:b/>
          <w:i/>
          <w:color w:val="4F81BD" w:themeColor="accent1"/>
          <w:lang w:val="es-ES"/>
        </w:rPr>
      </w:pPr>
      <w:r w:rsidRPr="00BB53C0">
        <w:rPr>
          <w:rFonts w:ascii="Arial" w:hAnsi="Arial" w:cs="Arial"/>
          <w:b/>
          <w:i/>
          <w:color w:val="4F81BD" w:themeColor="accent1"/>
          <w:lang w:val="es-ES"/>
        </w:rPr>
        <w:t>Gráfico N° 2. Oficinas de origen de las causas derivadas a Justicia Restaurativa. Febrero a Octubre 2020</w:t>
      </w:r>
    </w:p>
    <w:p w14:paraId="2B4BEB1B" w14:textId="77777777" w:rsidR="00E01CA0" w:rsidRPr="00BB53C0" w:rsidRDefault="00E01CA0" w:rsidP="00E01CA0">
      <w:pPr>
        <w:widowControl w:val="0"/>
        <w:spacing w:after="0" w:line="240" w:lineRule="auto"/>
        <w:jc w:val="center"/>
        <w:rPr>
          <w:rFonts w:ascii="Arial" w:hAnsi="Arial" w:cs="Arial"/>
          <w:b/>
          <w:color w:val="1F497D" w:themeColor="text2"/>
          <w:sz w:val="24"/>
          <w:szCs w:val="24"/>
          <w:lang w:val="es-ES"/>
        </w:rPr>
      </w:pPr>
      <w:r w:rsidRPr="00BB53C0">
        <w:rPr>
          <w:rFonts w:ascii="Arial" w:hAnsi="Arial" w:cs="Arial"/>
          <w:noProof/>
        </w:rPr>
        <w:drawing>
          <wp:inline distT="0" distB="0" distL="0" distR="0" wp14:anchorId="5EAAABCD" wp14:editId="548DBD86">
            <wp:extent cx="3199130" cy="1335405"/>
            <wp:effectExtent l="0" t="0" r="0" b="0"/>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A873CB5" w14:textId="77777777" w:rsidR="00E01CA0" w:rsidRPr="00BB53C0" w:rsidRDefault="00E01CA0" w:rsidP="00E01CA0">
      <w:pPr>
        <w:spacing w:after="0" w:line="240" w:lineRule="auto"/>
        <w:jc w:val="center"/>
        <w:rPr>
          <w:rFonts w:ascii="Arial" w:eastAsia="Times New Roman" w:hAnsi="Arial" w:cs="Arial"/>
          <w:i/>
          <w:sz w:val="18"/>
          <w:szCs w:val="18"/>
          <w:vertAlign w:val="superscript"/>
          <w:lang w:val="es-ES" w:eastAsia="es-ES"/>
        </w:rPr>
      </w:pPr>
      <w:r w:rsidRPr="00BB53C0">
        <w:rPr>
          <w:rFonts w:ascii="Arial" w:eastAsia="Times New Roman" w:hAnsi="Arial" w:cs="Arial"/>
          <w:i/>
          <w:sz w:val="18"/>
          <w:szCs w:val="18"/>
          <w:vertAlign w:val="superscript"/>
          <w:lang w:val="es-ES" w:eastAsia="es-ES"/>
        </w:rPr>
        <w:t xml:space="preserve">                                                                                                              Fuente: Elaboración propia</w:t>
      </w:r>
    </w:p>
    <w:p w14:paraId="5130B3AF" w14:textId="77777777" w:rsidR="00E01CA0" w:rsidRPr="00BB53C0" w:rsidRDefault="00E01CA0" w:rsidP="008D6AC5">
      <w:pPr>
        <w:spacing w:before="100" w:beforeAutospacing="1" w:after="100" w:afterAutospacing="1"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Como se muestra en el Gráfico N° 1, al finalizar el mes de octubre 2020 ingresaron 85 casos de los cuales 66 fueron derivados por el Tribunal de la Inspección Judicial, 18 por la Oficina de Asuntos Internos del Organismo de Investigación Judicial y 01 por la judicatura.</w:t>
      </w:r>
    </w:p>
    <w:p w14:paraId="546A28CC" w14:textId="77777777" w:rsidR="00E01CA0" w:rsidRPr="00BB53C0" w:rsidRDefault="00E01CA0" w:rsidP="00E01CA0">
      <w:pPr>
        <w:widowControl w:val="0"/>
        <w:spacing w:after="0" w:line="240" w:lineRule="auto"/>
        <w:jc w:val="center"/>
        <w:rPr>
          <w:rFonts w:ascii="Arial" w:hAnsi="Arial" w:cs="Arial"/>
          <w:b/>
          <w:i/>
          <w:color w:val="4F81BD" w:themeColor="accent1"/>
          <w:lang w:val="es-ES"/>
        </w:rPr>
      </w:pPr>
      <w:r w:rsidRPr="00BB53C0">
        <w:rPr>
          <w:rFonts w:ascii="Arial" w:hAnsi="Arial" w:cs="Arial"/>
          <w:b/>
          <w:i/>
          <w:color w:val="4F81BD" w:themeColor="accent1"/>
          <w:lang w:val="es-ES"/>
        </w:rPr>
        <w:t>Gráfico N° 2. Ámbito laboral de las personas usuarias. Enero a Octubre 2020.</w:t>
      </w:r>
    </w:p>
    <w:p w14:paraId="07AC0D5A" w14:textId="77777777" w:rsidR="00E01CA0" w:rsidRPr="00BB53C0" w:rsidRDefault="00E01CA0" w:rsidP="00E01CA0">
      <w:pPr>
        <w:widowControl w:val="0"/>
        <w:spacing w:after="0" w:line="240" w:lineRule="auto"/>
        <w:jc w:val="center"/>
        <w:rPr>
          <w:rFonts w:ascii="Arial" w:hAnsi="Arial" w:cs="Arial"/>
          <w:b/>
          <w:color w:val="1F497D" w:themeColor="text2"/>
          <w:sz w:val="24"/>
          <w:szCs w:val="24"/>
          <w:lang w:val="es-ES"/>
        </w:rPr>
      </w:pPr>
      <w:r w:rsidRPr="00BB53C0">
        <w:rPr>
          <w:rFonts w:ascii="Arial" w:hAnsi="Arial" w:cs="Arial"/>
          <w:noProof/>
        </w:rPr>
        <w:drawing>
          <wp:inline distT="0" distB="0" distL="0" distR="0" wp14:anchorId="5CACA6A7" wp14:editId="668240DD">
            <wp:extent cx="3149600" cy="1285875"/>
            <wp:effectExtent l="0" t="0" r="0" b="0"/>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E88F71B" w14:textId="77777777" w:rsidR="00E01CA0" w:rsidRPr="00BB53C0" w:rsidRDefault="00E01CA0" w:rsidP="00E01CA0">
      <w:pPr>
        <w:widowControl w:val="0"/>
        <w:spacing w:after="0" w:line="240" w:lineRule="auto"/>
        <w:jc w:val="center"/>
        <w:rPr>
          <w:rFonts w:ascii="Arial" w:hAnsi="Arial" w:cs="Arial"/>
          <w:i/>
          <w:color w:val="1F497D" w:themeColor="text2"/>
          <w:sz w:val="18"/>
          <w:szCs w:val="18"/>
          <w:vertAlign w:val="superscript"/>
          <w:lang w:val="es-ES"/>
        </w:rPr>
      </w:pPr>
      <w:r w:rsidRPr="00BB53C0">
        <w:rPr>
          <w:rFonts w:ascii="Arial" w:eastAsia="Times New Roman" w:hAnsi="Arial" w:cs="Arial"/>
          <w:i/>
          <w:sz w:val="18"/>
          <w:szCs w:val="18"/>
          <w:vertAlign w:val="superscript"/>
          <w:lang w:val="es-ES" w:eastAsia="es-ES"/>
        </w:rPr>
        <w:t xml:space="preserve">                                                                                                Fuente: Elaboración propia</w:t>
      </w:r>
    </w:p>
    <w:p w14:paraId="177CB69B" w14:textId="77777777" w:rsidR="00E01CA0" w:rsidRPr="00BB53C0" w:rsidRDefault="00E01CA0" w:rsidP="008D6AC5">
      <w:pPr>
        <w:spacing w:before="100" w:beforeAutospacing="1" w:after="100" w:afterAutospacing="1" w:line="360" w:lineRule="auto"/>
        <w:jc w:val="both"/>
        <w:rPr>
          <w:rFonts w:ascii="Arial" w:hAnsi="Arial" w:cs="Arial"/>
          <w:b/>
          <w:color w:val="1F497D" w:themeColor="text2"/>
          <w:sz w:val="24"/>
          <w:szCs w:val="24"/>
          <w:lang w:val="es-ES"/>
        </w:rPr>
      </w:pPr>
      <w:r w:rsidRPr="00BB53C0">
        <w:rPr>
          <w:rFonts w:ascii="Arial" w:eastAsia="Times New Roman" w:hAnsi="Arial" w:cs="Arial"/>
          <w:sz w:val="24"/>
          <w:szCs w:val="24"/>
          <w:lang w:val="es-ES" w:eastAsia="es-ES"/>
        </w:rPr>
        <w:t>De la cantidad de causas ingresadas, se visualiza que la mayoría de los casos son de personas que laboran en el ámbito Auxiliar de Justicia (OIJ, MP, Defensa Pública, Escuela Judicial, etc.), en segundo lugar del ámbito jurisdiccional (Tribunales o Juzgados), y en tercer lugar del ámbito administrativo (Administraciones Regionales, servicios generales, etc.).</w:t>
      </w:r>
    </w:p>
    <w:p w14:paraId="26760C16" w14:textId="77777777" w:rsidR="00E01CA0" w:rsidRPr="00BB53C0" w:rsidRDefault="00E01CA0" w:rsidP="00E01CA0">
      <w:pPr>
        <w:widowControl w:val="0"/>
        <w:spacing w:after="0" w:line="240" w:lineRule="auto"/>
        <w:jc w:val="center"/>
        <w:rPr>
          <w:rFonts w:ascii="Arial" w:hAnsi="Arial" w:cs="Arial"/>
          <w:i/>
          <w:color w:val="4F81BD" w:themeColor="accent1"/>
          <w:lang w:val="es-ES"/>
        </w:rPr>
      </w:pPr>
      <w:r w:rsidRPr="00BB53C0">
        <w:rPr>
          <w:rFonts w:ascii="Arial" w:hAnsi="Arial" w:cs="Arial"/>
          <w:i/>
          <w:color w:val="4F81BD" w:themeColor="accent1"/>
          <w:lang w:val="es-ES"/>
        </w:rPr>
        <w:t xml:space="preserve">Gráfico N° 3. Sexo de las personas usuarias. Enero a Octubre 2020. </w:t>
      </w:r>
    </w:p>
    <w:p w14:paraId="19BA6F2D" w14:textId="77777777" w:rsidR="00E01CA0" w:rsidRPr="00BB53C0" w:rsidRDefault="00E01CA0" w:rsidP="00E01CA0">
      <w:pPr>
        <w:widowControl w:val="0"/>
        <w:spacing w:after="0" w:line="240" w:lineRule="auto"/>
        <w:jc w:val="center"/>
        <w:rPr>
          <w:rFonts w:ascii="Arial" w:hAnsi="Arial" w:cs="Arial"/>
          <w:b/>
          <w:color w:val="1F497D" w:themeColor="text2"/>
          <w:sz w:val="24"/>
          <w:szCs w:val="24"/>
        </w:rPr>
      </w:pPr>
      <w:r w:rsidRPr="00BB53C0">
        <w:rPr>
          <w:rFonts w:ascii="Arial" w:hAnsi="Arial" w:cs="Arial"/>
          <w:noProof/>
        </w:rPr>
        <w:drawing>
          <wp:inline distT="0" distB="0" distL="0" distR="0" wp14:anchorId="2DFF4337" wp14:editId="34C26228">
            <wp:extent cx="3072765" cy="1263015"/>
            <wp:effectExtent l="0" t="0" r="0" b="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047DA41" w14:textId="77777777" w:rsidR="00E01CA0" w:rsidRPr="00BB53C0" w:rsidRDefault="00E01CA0" w:rsidP="00E01CA0">
      <w:pPr>
        <w:spacing w:after="0" w:line="240" w:lineRule="auto"/>
        <w:jc w:val="center"/>
        <w:rPr>
          <w:rFonts w:ascii="Arial" w:eastAsia="Times New Roman" w:hAnsi="Arial" w:cs="Arial"/>
          <w:i/>
          <w:sz w:val="18"/>
          <w:szCs w:val="18"/>
          <w:vertAlign w:val="superscript"/>
          <w:lang w:val="es-ES" w:eastAsia="es-ES"/>
        </w:rPr>
      </w:pPr>
      <w:r w:rsidRPr="00BB53C0">
        <w:rPr>
          <w:rFonts w:ascii="Arial" w:eastAsia="Times New Roman" w:hAnsi="Arial" w:cs="Arial"/>
          <w:i/>
          <w:sz w:val="18"/>
          <w:szCs w:val="18"/>
          <w:vertAlign w:val="superscript"/>
          <w:lang w:val="es-ES" w:eastAsia="es-ES"/>
        </w:rPr>
        <w:t xml:space="preserve">                                                                                               Fuente: Elaboración propia</w:t>
      </w:r>
    </w:p>
    <w:p w14:paraId="7F8CBF55" w14:textId="77777777" w:rsidR="00E01CA0" w:rsidRPr="00BB53C0" w:rsidRDefault="00E01CA0" w:rsidP="008D6AC5">
      <w:pPr>
        <w:spacing w:afterAutospacing="1"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Tal como se aprecia en el gráfico número 3, de la cantidad de casos ingresados hasta el mes de octubre 2020, 32 son de mujeres y 53 de hombres. </w:t>
      </w:r>
    </w:p>
    <w:p w14:paraId="55952A45" w14:textId="77777777" w:rsidR="00E01CA0" w:rsidRPr="00BB53C0" w:rsidRDefault="00E01CA0" w:rsidP="008D6AC5">
      <w:pPr>
        <w:spacing w:afterAutospacing="1" w:line="360" w:lineRule="auto"/>
        <w:jc w:val="both"/>
        <w:rPr>
          <w:rFonts w:ascii="Arial" w:hAnsi="Arial" w:cs="Arial"/>
          <w:sz w:val="24"/>
          <w:szCs w:val="24"/>
          <w:lang w:val="es-ES"/>
        </w:rPr>
      </w:pPr>
      <w:r w:rsidRPr="00BB53C0">
        <w:rPr>
          <w:rFonts w:ascii="Arial" w:eastAsia="Times New Roman" w:hAnsi="Arial" w:cs="Arial"/>
          <w:sz w:val="24"/>
          <w:szCs w:val="24"/>
          <w:lang w:val="es-ES" w:eastAsia="es-ES"/>
        </w:rPr>
        <w:t xml:space="preserve">De los 85 asuntos derivados </w:t>
      </w:r>
      <w:r w:rsidRPr="00BB53C0">
        <w:rPr>
          <w:rFonts w:ascii="Arial" w:hAnsi="Arial" w:cs="Arial"/>
          <w:sz w:val="24"/>
          <w:szCs w:val="24"/>
          <w:lang w:val="es-ES"/>
        </w:rPr>
        <w:t>se devolvieron 33 causas a la vía ordinaria, por no cumplir con los requisitos previstos en el reglamento, como por ejemplo: la falta de voluntariedad o la no localización por medios conocidos. Además, como dato de interés, 12 de las causas devueltas eran casos de mujeres y 21 de hombres. Del total de causas ingresadas, se realizaron 45 Reuniones Restaurativa y se mantienen 7 asuntos en trámite previo al acuerdo restaurativo.</w:t>
      </w:r>
    </w:p>
    <w:p w14:paraId="568385C9" w14:textId="77777777" w:rsidR="00E01CA0" w:rsidRPr="00BB53C0" w:rsidRDefault="00E01CA0" w:rsidP="008D6AC5">
      <w:pPr>
        <w:spacing w:afterAutospacing="1" w:line="360" w:lineRule="auto"/>
        <w:jc w:val="both"/>
        <w:rPr>
          <w:rFonts w:ascii="Arial" w:hAnsi="Arial" w:cs="Arial"/>
          <w:b/>
          <w:color w:val="1F497D" w:themeColor="text2"/>
          <w:sz w:val="24"/>
          <w:szCs w:val="24"/>
        </w:rPr>
      </w:pPr>
      <w:r w:rsidRPr="00BB53C0">
        <w:rPr>
          <w:rFonts w:ascii="Arial" w:eastAsia="Times New Roman" w:hAnsi="Arial" w:cs="Arial"/>
          <w:sz w:val="24"/>
          <w:szCs w:val="24"/>
          <w:lang w:val="es-ES" w:eastAsia="es-ES"/>
        </w:rPr>
        <w:t>A partir del mes de marzo, producto de la emergencia nacional por la enfermedad de la COVID-19 Justicia Restaurativa incorporó la virtualidad en todas las actuaciones, pero aún en este contexto, al cierre del mes de octubre 2020, de las 45 Reuniones Restaurativas realizadas, todas culminaron con acuerdo restaurativo, es decir, se obtuvo un 100 % de efectividad. De estas 45 causas con acuerdo restaurativo, 17 son de mujeres y 28 de hombres.</w:t>
      </w:r>
    </w:p>
    <w:p w14:paraId="0EB05F5E" w14:textId="77777777" w:rsidR="00E01CA0" w:rsidRPr="00BB53C0" w:rsidRDefault="00E01CA0" w:rsidP="008D6AC5">
      <w:pPr>
        <w:spacing w:afterAutospacing="1"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La totalidad de las causas con acuerdo restaurativo son por cobro judicial, así que suman 252 horas de abordaje psicosocial y 252 horas en educación financiera y estrategias, como por ejemplo la elaboración de presupuestos personales y familiares, planes de ahorro y 1 hora sobre comunicación asertiva por conflicto personal (charla), así como la implementación de acciones para generar nuevos ingresos a través de emprendimientos, según sus capacidades y habilidades personales, sin que generen conflictos de intereses con su relación laboral; asuntos que se encuentran en seguimiento bajo el principio de alto apoyo y alto control, realizándose durante el periodo del informe 94 seguimientos, 27 referencias institucionales y 233 acciones de coordinación para sustentar e impulsar los planes reparadores. </w:t>
      </w:r>
    </w:p>
    <w:p w14:paraId="1F47497B" w14:textId="0FA3F052" w:rsidR="00E01CA0" w:rsidRPr="00BB53C0" w:rsidRDefault="00E01CA0" w:rsidP="008D6AC5">
      <w:pPr>
        <w:spacing w:afterAutospacing="1"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Se mantiene un trabajo articulado con la Sección de Apoyo Psicológico </w:t>
      </w:r>
      <w:r w:rsidR="00714B1C" w:rsidRPr="00BB53C0">
        <w:rPr>
          <w:rFonts w:ascii="Arial" w:eastAsia="Times New Roman" w:hAnsi="Arial" w:cs="Arial"/>
          <w:sz w:val="24"/>
          <w:szCs w:val="24"/>
          <w:lang w:val="es-ES" w:eastAsia="es-ES"/>
        </w:rPr>
        <w:t>Operacional del</w:t>
      </w:r>
      <w:r w:rsidRPr="00BB53C0">
        <w:rPr>
          <w:rFonts w:ascii="Arial" w:eastAsia="Times New Roman" w:hAnsi="Arial" w:cs="Arial"/>
          <w:sz w:val="24"/>
          <w:szCs w:val="24"/>
          <w:lang w:val="es-ES" w:eastAsia="es-ES"/>
        </w:rPr>
        <w:t xml:space="preserve"> Organismo de Investigación Judicial (SAPSO), la Asociación Solidarista de Empleados Judiciales (ASOSEJUD) y el Servicio de Salud de Empleados Judiciales, como parte de la Red de Apoyo institucional para el programa, y se continúa con la ampliación de la red. </w:t>
      </w:r>
    </w:p>
    <w:p w14:paraId="0CDAAD3B" w14:textId="77777777" w:rsidR="00E01CA0" w:rsidRPr="00BB53C0" w:rsidRDefault="00E01CA0" w:rsidP="008D6AC5">
      <w:p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Para poner en marcha el </w:t>
      </w:r>
      <w:r w:rsidRPr="00BB53C0">
        <w:rPr>
          <w:rFonts w:ascii="Arial" w:hAnsi="Arial" w:cs="Arial"/>
          <w:sz w:val="24"/>
          <w:szCs w:val="24"/>
        </w:rPr>
        <w:t>proceso restaurativo, el equipo llevó a cabo diversas acciones de coordinación, entre ellas, 18</w:t>
      </w:r>
      <w:r w:rsidRPr="00BB53C0">
        <w:rPr>
          <w:rFonts w:ascii="Arial" w:eastAsia="Times New Roman" w:hAnsi="Arial" w:cs="Arial"/>
          <w:sz w:val="24"/>
          <w:szCs w:val="24"/>
          <w:lang w:val="es-ES" w:eastAsia="es-ES"/>
        </w:rPr>
        <w:t xml:space="preserve"> reuniones de equipo, 16 reuniones con otras instancias judiciales y 22 reuniones con la jefatura, con ello se logró:</w:t>
      </w:r>
    </w:p>
    <w:p w14:paraId="3C347717" w14:textId="77777777" w:rsidR="00E01CA0" w:rsidRPr="00BB53C0" w:rsidRDefault="00E01CA0" w:rsidP="008D6AC5">
      <w:pPr>
        <w:spacing w:after="0" w:line="360" w:lineRule="auto"/>
        <w:jc w:val="both"/>
        <w:rPr>
          <w:rFonts w:ascii="Arial" w:eastAsia="Times New Roman" w:hAnsi="Arial" w:cs="Arial"/>
          <w:sz w:val="24"/>
          <w:szCs w:val="24"/>
          <w:lang w:val="es-ES" w:eastAsia="es-ES"/>
        </w:rPr>
      </w:pPr>
    </w:p>
    <w:p w14:paraId="43C99236" w14:textId="77777777" w:rsidR="00E01CA0" w:rsidRPr="00BB53C0" w:rsidRDefault="00E01CA0" w:rsidP="00C10ACE">
      <w:pPr>
        <w:pStyle w:val="Prrafodelista"/>
        <w:numPr>
          <w:ilvl w:val="0"/>
          <w:numId w:val="19"/>
        </w:numPr>
        <w:spacing w:after="0" w:line="360" w:lineRule="auto"/>
        <w:jc w:val="both"/>
        <w:rPr>
          <w:rFonts w:ascii="Arial" w:eastAsia="Times New Roman" w:hAnsi="Arial" w:cs="Arial"/>
          <w:sz w:val="24"/>
          <w:szCs w:val="24"/>
          <w:lang w:val="es-ES" w:eastAsia="es-ES"/>
        </w:rPr>
      </w:pPr>
      <w:r w:rsidRPr="00BB53C0">
        <w:rPr>
          <w:rFonts w:ascii="Arial" w:hAnsi="Arial" w:cs="Arial"/>
          <w:sz w:val="24"/>
          <w:szCs w:val="24"/>
          <w:lang w:val="es-ES"/>
        </w:rPr>
        <w:t>La creación de un c</w:t>
      </w:r>
      <w:r w:rsidRPr="00BB53C0">
        <w:rPr>
          <w:rFonts w:ascii="Arial" w:eastAsia="Times New Roman" w:hAnsi="Arial" w:cs="Arial"/>
          <w:sz w:val="24"/>
          <w:szCs w:val="24"/>
          <w:lang w:val="es-ES" w:eastAsia="es-ES"/>
        </w:rPr>
        <w:t xml:space="preserve">ontrol de expedientes ingresados, tramitados, en seguimiento y devueltos a la vía ordinaria (Microsoft Excel). Además, en este documento contiene datos socio demográficos de las personas usuarias del programa. </w:t>
      </w:r>
    </w:p>
    <w:p w14:paraId="26FAE7D4" w14:textId="77777777" w:rsidR="00E01CA0" w:rsidRPr="00BB53C0" w:rsidRDefault="00E01CA0" w:rsidP="00C10ACE">
      <w:pPr>
        <w:pStyle w:val="Prrafodelista"/>
        <w:numPr>
          <w:ilvl w:val="0"/>
          <w:numId w:val="19"/>
        </w:num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Se definieron los indicadores mensuales y una agenda de trabajo conjunto.</w:t>
      </w:r>
    </w:p>
    <w:p w14:paraId="029C6B10" w14:textId="77777777" w:rsidR="00E01CA0" w:rsidRPr="00BB53C0" w:rsidRDefault="00E01CA0" w:rsidP="00C10ACE">
      <w:pPr>
        <w:pStyle w:val="Prrafodelista"/>
        <w:numPr>
          <w:ilvl w:val="0"/>
          <w:numId w:val="19"/>
        </w:num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Se construyó la fórmula estadística para registrar el movimiento de trabajo mensual, que fue revisada por el Sub Proceso de Estadísticas de la Dirección de Planificación. </w:t>
      </w:r>
    </w:p>
    <w:p w14:paraId="45C3FD62" w14:textId="0A9484E0" w:rsidR="00E01CA0" w:rsidRPr="00BB53C0" w:rsidRDefault="00E01CA0" w:rsidP="00C10ACE">
      <w:pPr>
        <w:pStyle w:val="Prrafodelista"/>
        <w:numPr>
          <w:ilvl w:val="0"/>
          <w:numId w:val="19"/>
        </w:num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 xml:space="preserve">Un instrumento de valoración y entrevista psicosocial ajustado a la naturaleza de los casos derivados </w:t>
      </w:r>
      <w:r w:rsidR="00714B1C" w:rsidRPr="00BB53C0">
        <w:rPr>
          <w:rFonts w:ascii="Arial" w:eastAsia="Times New Roman" w:hAnsi="Arial" w:cs="Arial"/>
          <w:sz w:val="24"/>
          <w:szCs w:val="24"/>
          <w:lang w:val="es-ES" w:eastAsia="es-ES"/>
        </w:rPr>
        <w:t>por los</w:t>
      </w:r>
      <w:r w:rsidRPr="00BB53C0">
        <w:rPr>
          <w:rFonts w:ascii="Arial" w:eastAsia="Times New Roman" w:hAnsi="Arial" w:cs="Arial"/>
          <w:sz w:val="24"/>
          <w:szCs w:val="24"/>
          <w:lang w:val="es-ES" w:eastAsia="es-ES"/>
        </w:rPr>
        <w:t xml:space="preserve"> distintos órganos disciplinarios. </w:t>
      </w:r>
    </w:p>
    <w:p w14:paraId="0ADC77C4" w14:textId="77777777" w:rsidR="00E01CA0" w:rsidRPr="00BB53C0" w:rsidRDefault="00E01CA0" w:rsidP="00C10ACE">
      <w:pPr>
        <w:pStyle w:val="Prrafodelista"/>
        <w:numPr>
          <w:ilvl w:val="0"/>
          <w:numId w:val="19"/>
        </w:numPr>
        <w:spacing w:after="0" w:line="360" w:lineRule="auto"/>
        <w:jc w:val="both"/>
        <w:rPr>
          <w:rFonts w:ascii="Arial" w:eastAsia="Times New Roman" w:hAnsi="Arial" w:cs="Arial"/>
          <w:sz w:val="24"/>
          <w:szCs w:val="24"/>
          <w:lang w:val="es-ES" w:eastAsia="es-ES"/>
        </w:rPr>
      </w:pPr>
      <w:r w:rsidRPr="00BB53C0">
        <w:rPr>
          <w:rFonts w:ascii="Arial" w:eastAsia="Times New Roman" w:hAnsi="Arial" w:cs="Arial"/>
          <w:sz w:val="24"/>
          <w:szCs w:val="24"/>
          <w:lang w:val="es-ES" w:eastAsia="es-ES"/>
        </w:rPr>
        <w:t>Un instrumento o encuesta de satisfacción, para medir la calidad de servicio y el nivel de satisfacción de las personas usuarias del programa.</w:t>
      </w:r>
    </w:p>
    <w:p w14:paraId="46EB588B" w14:textId="77777777" w:rsidR="00E01CA0" w:rsidRPr="00BB53C0" w:rsidRDefault="00E01CA0" w:rsidP="008D6AC5">
      <w:pPr>
        <w:pStyle w:val="Prrafodelista"/>
        <w:spacing w:after="0" w:line="360" w:lineRule="auto"/>
        <w:jc w:val="both"/>
        <w:rPr>
          <w:rFonts w:ascii="Arial" w:eastAsia="Times New Roman" w:hAnsi="Arial" w:cs="Arial"/>
          <w:sz w:val="24"/>
          <w:szCs w:val="24"/>
          <w:lang w:val="es-ES" w:eastAsia="es-ES"/>
        </w:rPr>
      </w:pPr>
    </w:p>
    <w:p w14:paraId="4DB0AB21" w14:textId="77777777" w:rsidR="00E01CA0" w:rsidRPr="00BB53C0" w:rsidRDefault="00E01CA0" w:rsidP="008D6AC5">
      <w:pPr>
        <w:spacing w:after="0" w:line="360" w:lineRule="auto"/>
        <w:rPr>
          <w:rFonts w:ascii="Arial" w:hAnsi="Arial" w:cs="Arial"/>
          <w:sz w:val="24"/>
          <w:szCs w:val="24"/>
        </w:rPr>
      </w:pPr>
    </w:p>
    <w:p w14:paraId="0DA1FAA4" w14:textId="364F98DE" w:rsidR="00E01CA0" w:rsidRPr="006606AE" w:rsidRDefault="006606AE" w:rsidP="006606AE">
      <w:pPr>
        <w:pStyle w:val="Ttulo2"/>
        <w:numPr>
          <w:ilvl w:val="0"/>
          <w:numId w:val="0"/>
        </w:numPr>
        <w:spacing w:line="360" w:lineRule="auto"/>
        <w:ind w:left="860" w:hanging="576"/>
        <w:jc w:val="center"/>
        <w:rPr>
          <w:rFonts w:cs="Arial"/>
          <w:sz w:val="24"/>
          <w:szCs w:val="24"/>
        </w:rPr>
      </w:pPr>
      <w:r>
        <w:rPr>
          <w:rFonts w:cs="Arial"/>
          <w:sz w:val="24"/>
          <w:szCs w:val="24"/>
        </w:rPr>
        <w:t>P</w:t>
      </w:r>
      <w:r w:rsidR="00E01CA0" w:rsidRPr="006606AE">
        <w:rPr>
          <w:rFonts w:cs="Arial"/>
          <w:sz w:val="24"/>
          <w:szCs w:val="24"/>
        </w:rPr>
        <w:t>royecto de Cooperación Internacional Corte-Embajada USA-NSC sobre Justicia Juvenil Restaurativa.</w:t>
      </w:r>
    </w:p>
    <w:p w14:paraId="1A191D67" w14:textId="77777777" w:rsidR="00E01CA0" w:rsidRPr="00BB53C0" w:rsidRDefault="00E01CA0" w:rsidP="008D6AC5">
      <w:pPr>
        <w:spacing w:after="0" w:line="360" w:lineRule="auto"/>
        <w:jc w:val="both"/>
        <w:rPr>
          <w:rFonts w:ascii="Arial" w:hAnsi="Arial" w:cs="Arial"/>
          <w:sz w:val="24"/>
          <w:szCs w:val="24"/>
        </w:rPr>
      </w:pPr>
    </w:p>
    <w:p w14:paraId="5089B842"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Este proyecto que inició, en su II fase en febrero del 2019 y tiene fecha de finalización en febrero del 2021, durante el año 2020 continuó exitosamente su ejecución, pese a los retos enfrentados ante la pandemia por la COVID-19.</w:t>
      </w:r>
    </w:p>
    <w:p w14:paraId="4E6E8C86" w14:textId="77777777" w:rsidR="00E01CA0" w:rsidRPr="00BB53C0" w:rsidRDefault="00E01CA0" w:rsidP="008D6AC5">
      <w:pPr>
        <w:spacing w:after="0" w:line="360" w:lineRule="auto"/>
        <w:jc w:val="both"/>
        <w:rPr>
          <w:rFonts w:ascii="Arial" w:hAnsi="Arial" w:cs="Arial"/>
          <w:sz w:val="24"/>
          <w:szCs w:val="24"/>
        </w:rPr>
      </w:pPr>
    </w:p>
    <w:p w14:paraId="0211D4A3"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Como consecuencia de la pandemia, y con el fin de ajustarse a la nueva realidad, se modificaron las metodologías de trabajo para la elaboración de los productos. Para ello se optó por la utilización de la virtualidad y la adaptación de las actividades para asegurar una adecuada interacción e intercambio entre de los diferentes intervinientes.</w:t>
      </w:r>
    </w:p>
    <w:p w14:paraId="01173089" w14:textId="77777777" w:rsidR="00E01CA0" w:rsidRPr="00BB53C0" w:rsidRDefault="00E01CA0" w:rsidP="008D6AC5">
      <w:pPr>
        <w:spacing w:after="0" w:line="360" w:lineRule="auto"/>
        <w:jc w:val="both"/>
        <w:rPr>
          <w:rFonts w:ascii="Arial" w:hAnsi="Arial" w:cs="Arial"/>
          <w:sz w:val="24"/>
          <w:szCs w:val="24"/>
        </w:rPr>
      </w:pPr>
    </w:p>
    <w:p w14:paraId="71AD978A" w14:textId="70204173" w:rsidR="00E01CA0" w:rsidRPr="00BB53C0" w:rsidRDefault="00E01CA0" w:rsidP="008D6AC5">
      <w:pPr>
        <w:spacing w:after="0" w:line="360" w:lineRule="auto"/>
        <w:jc w:val="both"/>
        <w:rPr>
          <w:rFonts w:ascii="Arial" w:hAnsi="Arial" w:cs="Arial"/>
          <w:sz w:val="24"/>
          <w:szCs w:val="24"/>
        </w:rPr>
      </w:pPr>
      <w:r w:rsidRPr="00BB53C0">
        <w:rPr>
          <w:rFonts w:ascii="Arial" w:hAnsi="Arial" w:cs="Arial"/>
          <w:noProof/>
        </w:rPr>
        <w:drawing>
          <wp:anchor distT="0" distB="0" distL="114300" distR="114300" simplePos="0" relativeHeight="251692544" behindDoc="0" locked="0" layoutInCell="1" allowOverlap="1" wp14:anchorId="203C75D2" wp14:editId="4A80B23C">
            <wp:simplePos x="0" y="0"/>
            <wp:positionH relativeFrom="column">
              <wp:posOffset>3677285</wp:posOffset>
            </wp:positionH>
            <wp:positionV relativeFrom="paragraph">
              <wp:posOffset>58420</wp:posOffset>
            </wp:positionV>
            <wp:extent cx="1944370" cy="1228725"/>
            <wp:effectExtent l="0" t="0" r="0" b="0"/>
            <wp:wrapSquare wrapText="bothSides"/>
            <wp:docPr id="67" name="Imagen9" descr="C:\Users\aramirezco\Documents\DIRECCIÓN NACIONAL DE JUSTICIA RESTAURATIVA\PROYECTO USA\REUNIÓN EQUIPO CONTRAPARTE\AÑO 2020\JULIO\IMAGEN 2 REUNIÓN EQUIPO CONTRAPARTE (16-07-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9" descr="C:\Users\aramirezco\Documents\DIRECCIÓN NACIONAL DE JUSTICIA RESTAURATIVA\PROYECTO USA\REUNIÓN EQUIPO CONTRAPARTE\AÑO 2020\JULIO\IMAGEN 2 REUNIÓN EQUIPO CONTRAPARTE (16-07-2020).png"/>
                    <pic:cNvPicPr>
                      <a:picLocks noChangeAspect="1" noChangeArrowheads="1"/>
                    </pic:cNvPicPr>
                  </pic:nvPicPr>
                  <pic:blipFill>
                    <a:blip r:embed="rId74"/>
                    <a:stretch>
                      <a:fillRect/>
                    </a:stretch>
                  </pic:blipFill>
                  <pic:spPr bwMode="auto">
                    <a:xfrm>
                      <a:off x="0" y="0"/>
                      <a:ext cx="1944370" cy="1228725"/>
                    </a:xfrm>
                    <a:prstGeom prst="rect">
                      <a:avLst/>
                    </a:prstGeom>
                  </pic:spPr>
                </pic:pic>
              </a:graphicData>
            </a:graphic>
          </wp:anchor>
        </w:drawing>
      </w:r>
      <w:r w:rsidRPr="00BB53C0">
        <w:rPr>
          <w:rFonts w:ascii="Arial" w:hAnsi="Arial" w:cs="Arial"/>
          <w:sz w:val="24"/>
          <w:szCs w:val="24"/>
        </w:rPr>
        <w:t xml:space="preserve">Se desarrollaron las 2 reuniones de equipo contraparte que se contemplaron para este año 2020, la primera en el mes de febrero por lo que se hizo de manera presencial y la segunda en el mes de junio, donde gracias a la virtualidad se contó con la participación del subdirector de INL-Embajada de los Estados Unidos en Costa Rica y desde Washington uno </w:t>
      </w:r>
      <w:r w:rsidR="00210D92" w:rsidRPr="00BB53C0">
        <w:rPr>
          <w:rFonts w:ascii="Arial" w:hAnsi="Arial" w:cs="Arial"/>
          <w:sz w:val="24"/>
          <w:szCs w:val="24"/>
        </w:rPr>
        <w:t>de los representantes</w:t>
      </w:r>
      <w:r w:rsidRPr="00BB53C0">
        <w:rPr>
          <w:rFonts w:ascii="Arial" w:hAnsi="Arial" w:cs="Arial"/>
          <w:sz w:val="24"/>
          <w:szCs w:val="24"/>
        </w:rPr>
        <w:t xml:space="preserve"> de alta gerencia de NCSC. </w:t>
      </w:r>
    </w:p>
    <w:p w14:paraId="2B9B7A92" w14:textId="77777777" w:rsidR="00E01CA0" w:rsidRPr="00BB53C0" w:rsidRDefault="00E01CA0" w:rsidP="008D6AC5">
      <w:pPr>
        <w:spacing w:after="0" w:line="360" w:lineRule="auto"/>
        <w:jc w:val="both"/>
        <w:rPr>
          <w:rFonts w:ascii="Arial" w:hAnsi="Arial" w:cs="Arial"/>
          <w:sz w:val="24"/>
          <w:szCs w:val="24"/>
        </w:rPr>
      </w:pPr>
    </w:p>
    <w:p w14:paraId="06B9FA00"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Uno de los mayores desafíos consistió en la integración de las personas menores de edad en las actividades para la recolección de insumos, pues implicó la búsqueda de estrategias para brindar accesibilidad a las plataformas virtuales, y que las actividades lograran ser interactivas, atractivas y motivaran la participación. Frente a lo anterior, se ejecutaron grupos focales virtuales, en los que se utilizaron presentaciones y videos interactivos. Además, se contempló el pago de recargas telefónicas, y en el proceso de convocatoria se hizo uso de una comunicación fluida y muy cercana con las personas jóvenes.</w:t>
      </w:r>
    </w:p>
    <w:p w14:paraId="27B88601" w14:textId="77777777" w:rsidR="00E01CA0" w:rsidRPr="00BB53C0" w:rsidRDefault="00E01CA0" w:rsidP="008D6AC5">
      <w:pPr>
        <w:spacing w:after="0" w:line="360" w:lineRule="auto"/>
        <w:jc w:val="both"/>
        <w:rPr>
          <w:rFonts w:ascii="Arial" w:hAnsi="Arial" w:cs="Arial"/>
          <w:sz w:val="24"/>
          <w:szCs w:val="24"/>
        </w:rPr>
      </w:pPr>
    </w:p>
    <w:p w14:paraId="6CF98A16"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Por otro lado, en relación con algunos productos finales, también, se requirió realizar una serie de modificaciones al tenor del cumplimiento de las medidas sanitarias establecidas por las autoridades de salud y el Poder Judicial. Entre ellos, la realización de talleres virtuales con personas menores de edad, e incorporando estrategias para propiciar la accesibilidad de las personas menores de edad a la virtualidad, o bien, creando cajas de herramientas para la implementación de talleres.</w:t>
      </w:r>
    </w:p>
    <w:p w14:paraId="3C3350E6" w14:textId="77777777" w:rsidR="00E01CA0" w:rsidRPr="00BB53C0" w:rsidRDefault="00E01CA0" w:rsidP="008D6AC5">
      <w:pPr>
        <w:spacing w:after="0" w:line="360" w:lineRule="auto"/>
        <w:jc w:val="both"/>
        <w:rPr>
          <w:rFonts w:ascii="Arial" w:hAnsi="Arial" w:cs="Arial"/>
          <w:sz w:val="24"/>
          <w:szCs w:val="24"/>
        </w:rPr>
      </w:pPr>
    </w:p>
    <w:p w14:paraId="17B35868"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noProof/>
        </w:rPr>
        <w:drawing>
          <wp:anchor distT="0" distB="0" distL="114300" distR="114300" simplePos="0" relativeHeight="251691520" behindDoc="0" locked="0" layoutInCell="1" allowOverlap="1" wp14:anchorId="4642836F" wp14:editId="00B918C9">
            <wp:simplePos x="0" y="0"/>
            <wp:positionH relativeFrom="column">
              <wp:posOffset>41275</wp:posOffset>
            </wp:positionH>
            <wp:positionV relativeFrom="paragraph">
              <wp:posOffset>204470</wp:posOffset>
            </wp:positionV>
            <wp:extent cx="2280920" cy="1706880"/>
            <wp:effectExtent l="0" t="0" r="0" b="0"/>
            <wp:wrapTight wrapText="bothSides">
              <wp:wrapPolygon edited="0">
                <wp:start x="-216" y="0"/>
                <wp:lineTo x="-216" y="21414"/>
                <wp:lineTo x="21644" y="21414"/>
                <wp:lineTo x="21644" y="0"/>
                <wp:lineTo x="-216" y="0"/>
              </wp:wrapPolygon>
            </wp:wrapTight>
            <wp:docPr id="68" name="Imagen10" descr="C:\Users\aramirezco\Documents\DIRECCIÓN NACIONAL DE JUSTICIA RESTAURATIVA\PROYECTO USA\MATRIZ DE RIESGO\PRESENTACIÓN\IMG_20200929_1440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10" descr="C:\Users\aramirezco\Documents\DIRECCIÓN NACIONAL DE JUSTICIA RESTAURATIVA\PROYECTO USA\MATRIZ DE RIESGO\PRESENTACIÓN\IMG_20200929_144017 (1).jpg"/>
                    <pic:cNvPicPr>
                      <a:picLocks noChangeAspect="1" noChangeArrowheads="1"/>
                    </pic:cNvPicPr>
                  </pic:nvPicPr>
                  <pic:blipFill>
                    <a:blip r:embed="rId75"/>
                    <a:stretch>
                      <a:fillRect/>
                    </a:stretch>
                  </pic:blipFill>
                  <pic:spPr bwMode="auto">
                    <a:xfrm>
                      <a:off x="0" y="0"/>
                      <a:ext cx="2280920" cy="1706880"/>
                    </a:xfrm>
                    <a:prstGeom prst="rect">
                      <a:avLst/>
                    </a:prstGeom>
                  </pic:spPr>
                </pic:pic>
              </a:graphicData>
            </a:graphic>
          </wp:anchor>
        </w:drawing>
      </w:r>
      <w:r w:rsidRPr="00BB53C0">
        <w:rPr>
          <w:rFonts w:ascii="Arial" w:hAnsi="Arial" w:cs="Arial"/>
          <w:sz w:val="24"/>
          <w:szCs w:val="24"/>
        </w:rPr>
        <w:t>No obstante lo anterior, y gracias a la capacidad de reinventar estrategias de acción, se lograron crear productos claves para agilizar el proceso de implementación de la Ley de Justicia Restaurativa en la materia de Justicia Juvenil Restaurativa, de cara a las necesidades detectadas tanto en la población usuaria penal juvenil, el requerimiento de instrumentos de actuación que permitan implementar procedimientos restaurativos específicos, y el proceso de ampliación de la cobertura territorial (publicitación, sensibilización y capacitación tanto del personal judicial, como de las comunidades).</w:t>
      </w:r>
    </w:p>
    <w:p w14:paraId="565340E2" w14:textId="77777777" w:rsidR="00E01CA0" w:rsidRPr="00BB53C0" w:rsidRDefault="00E01CA0" w:rsidP="008D6AC5">
      <w:pPr>
        <w:spacing w:after="0" w:line="360" w:lineRule="auto"/>
        <w:jc w:val="both"/>
        <w:rPr>
          <w:rFonts w:ascii="Arial" w:hAnsi="Arial" w:cs="Arial"/>
          <w:sz w:val="24"/>
          <w:szCs w:val="24"/>
        </w:rPr>
      </w:pPr>
    </w:p>
    <w:p w14:paraId="52ECF34B"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Siendo así, al mes de noviembre se ha cumplido con un 82% del Proyecto. Durante este año 2020 entre las principales acciones se destacan:</w:t>
      </w:r>
    </w:p>
    <w:p w14:paraId="673E723D" w14:textId="77777777" w:rsidR="00E01CA0" w:rsidRPr="00BB53C0" w:rsidRDefault="00E01CA0" w:rsidP="00E01CA0">
      <w:pPr>
        <w:spacing w:after="0" w:line="240" w:lineRule="auto"/>
        <w:jc w:val="both"/>
        <w:rPr>
          <w:rFonts w:ascii="Arial" w:hAnsi="Arial" w:cs="Arial"/>
          <w:sz w:val="24"/>
          <w:szCs w:val="24"/>
        </w:rPr>
      </w:pPr>
    </w:p>
    <w:tbl>
      <w:tblPr>
        <w:tblStyle w:val="Tablaconcuadrcula"/>
        <w:tblW w:w="8048" w:type="dxa"/>
        <w:jc w:val="center"/>
        <w:tblLook w:val="04A0" w:firstRow="1" w:lastRow="0" w:firstColumn="1" w:lastColumn="0" w:noHBand="0" w:noVBand="1"/>
      </w:tblPr>
      <w:tblGrid>
        <w:gridCol w:w="2125"/>
        <w:gridCol w:w="2126"/>
        <w:gridCol w:w="2076"/>
        <w:gridCol w:w="1721"/>
      </w:tblGrid>
      <w:tr w:rsidR="00E01CA0" w:rsidRPr="00BB53C0" w14:paraId="173D7436" w14:textId="77777777" w:rsidTr="00E01CA0">
        <w:trPr>
          <w:trHeight w:val="134"/>
          <w:jc w:val="center"/>
        </w:trPr>
        <w:tc>
          <w:tcPr>
            <w:tcW w:w="2124" w:type="dxa"/>
            <w:shd w:val="clear" w:color="auto" w:fill="DAEEF3" w:themeFill="accent5" w:themeFillTint="33"/>
          </w:tcPr>
          <w:p w14:paraId="61B180E0" w14:textId="77777777" w:rsidR="00E01CA0" w:rsidRPr="00BB53C0" w:rsidRDefault="00E01CA0" w:rsidP="00E01CA0">
            <w:pPr>
              <w:spacing w:after="0" w:line="240" w:lineRule="auto"/>
              <w:jc w:val="center"/>
              <w:rPr>
                <w:rFonts w:ascii="Arial" w:hAnsi="Arial" w:cs="Arial"/>
                <w:b/>
                <w:sz w:val="20"/>
                <w:szCs w:val="20"/>
              </w:rPr>
            </w:pPr>
          </w:p>
          <w:p w14:paraId="71A9EEBC" w14:textId="77777777" w:rsidR="00E01CA0" w:rsidRPr="00BB53C0" w:rsidRDefault="00E01CA0" w:rsidP="00E01CA0">
            <w:pPr>
              <w:spacing w:after="0" w:line="240" w:lineRule="auto"/>
              <w:jc w:val="center"/>
              <w:rPr>
                <w:rFonts w:ascii="Arial" w:hAnsi="Arial" w:cs="Arial"/>
                <w:b/>
                <w:sz w:val="20"/>
                <w:szCs w:val="20"/>
              </w:rPr>
            </w:pPr>
            <w:r w:rsidRPr="00BB53C0">
              <w:rPr>
                <w:rFonts w:ascii="Arial" w:hAnsi="Arial" w:cs="Arial"/>
                <w:b/>
                <w:sz w:val="20"/>
                <w:szCs w:val="20"/>
              </w:rPr>
              <w:t>Construcción de Instrumentos de actuación</w:t>
            </w:r>
          </w:p>
          <w:p w14:paraId="1F388894" w14:textId="77777777" w:rsidR="00E01CA0" w:rsidRPr="00BB53C0" w:rsidRDefault="00E01CA0" w:rsidP="00E01CA0">
            <w:pPr>
              <w:spacing w:after="0" w:line="240" w:lineRule="auto"/>
              <w:jc w:val="center"/>
              <w:rPr>
                <w:rFonts w:ascii="Arial" w:hAnsi="Arial" w:cs="Arial"/>
                <w:b/>
                <w:sz w:val="20"/>
                <w:szCs w:val="20"/>
              </w:rPr>
            </w:pPr>
          </w:p>
        </w:tc>
        <w:tc>
          <w:tcPr>
            <w:tcW w:w="2126" w:type="dxa"/>
            <w:shd w:val="clear" w:color="auto" w:fill="B6DDE8" w:themeFill="accent5" w:themeFillTint="66"/>
            <w:vAlign w:val="center"/>
          </w:tcPr>
          <w:p w14:paraId="56DC46FE" w14:textId="77777777" w:rsidR="00E01CA0" w:rsidRPr="00BB53C0" w:rsidRDefault="00E01CA0" w:rsidP="00E01CA0">
            <w:pPr>
              <w:spacing w:after="0" w:line="240" w:lineRule="auto"/>
              <w:jc w:val="center"/>
              <w:rPr>
                <w:rFonts w:ascii="Arial" w:hAnsi="Arial" w:cs="Arial"/>
                <w:b/>
                <w:sz w:val="20"/>
                <w:szCs w:val="20"/>
              </w:rPr>
            </w:pPr>
            <w:r w:rsidRPr="00BB53C0">
              <w:rPr>
                <w:rFonts w:ascii="Arial" w:hAnsi="Arial" w:cs="Arial"/>
                <w:b/>
                <w:sz w:val="20"/>
                <w:szCs w:val="20"/>
              </w:rPr>
              <w:t xml:space="preserve">Construcción de vídeos </w:t>
            </w:r>
          </w:p>
        </w:tc>
        <w:tc>
          <w:tcPr>
            <w:tcW w:w="2076" w:type="dxa"/>
            <w:shd w:val="clear" w:color="auto" w:fill="92CDDC" w:themeFill="accent5" w:themeFillTint="99"/>
            <w:vAlign w:val="center"/>
          </w:tcPr>
          <w:p w14:paraId="5B9C6513" w14:textId="77777777" w:rsidR="00E01CA0" w:rsidRPr="00BB53C0" w:rsidRDefault="00E01CA0" w:rsidP="00E01CA0">
            <w:pPr>
              <w:spacing w:after="0" w:line="240" w:lineRule="auto"/>
              <w:jc w:val="center"/>
              <w:rPr>
                <w:rFonts w:ascii="Arial" w:hAnsi="Arial" w:cs="Arial"/>
                <w:b/>
                <w:sz w:val="20"/>
                <w:szCs w:val="20"/>
              </w:rPr>
            </w:pPr>
            <w:r w:rsidRPr="00BB53C0">
              <w:rPr>
                <w:rFonts w:ascii="Arial" w:hAnsi="Arial" w:cs="Arial"/>
                <w:b/>
                <w:sz w:val="20"/>
                <w:szCs w:val="20"/>
              </w:rPr>
              <w:t>Actividades Virtuales Realizadas</w:t>
            </w:r>
          </w:p>
        </w:tc>
        <w:tc>
          <w:tcPr>
            <w:tcW w:w="1721" w:type="dxa"/>
            <w:shd w:val="clear" w:color="auto" w:fill="4BACC6" w:themeFill="accent5"/>
          </w:tcPr>
          <w:p w14:paraId="19DE6BD6" w14:textId="77777777" w:rsidR="00E01CA0" w:rsidRPr="00BB53C0" w:rsidRDefault="00E01CA0" w:rsidP="00E01CA0">
            <w:pPr>
              <w:spacing w:after="0" w:line="240" w:lineRule="auto"/>
              <w:jc w:val="center"/>
              <w:rPr>
                <w:rFonts w:ascii="Arial" w:hAnsi="Arial" w:cs="Arial"/>
                <w:b/>
                <w:sz w:val="20"/>
                <w:szCs w:val="20"/>
              </w:rPr>
            </w:pPr>
          </w:p>
          <w:p w14:paraId="04DBB3BB" w14:textId="77777777" w:rsidR="00E01CA0" w:rsidRPr="00BB53C0" w:rsidRDefault="00E01CA0" w:rsidP="00E01CA0">
            <w:pPr>
              <w:spacing w:after="0" w:line="240" w:lineRule="auto"/>
              <w:jc w:val="center"/>
              <w:rPr>
                <w:rFonts w:ascii="Arial" w:hAnsi="Arial" w:cs="Arial"/>
                <w:b/>
                <w:sz w:val="20"/>
                <w:szCs w:val="20"/>
              </w:rPr>
            </w:pPr>
          </w:p>
          <w:p w14:paraId="7B8ACF3E" w14:textId="77777777" w:rsidR="00E01CA0" w:rsidRPr="00BB53C0" w:rsidRDefault="00E01CA0" w:rsidP="00E01CA0">
            <w:pPr>
              <w:spacing w:after="0" w:line="240" w:lineRule="auto"/>
              <w:jc w:val="center"/>
              <w:rPr>
                <w:rFonts w:ascii="Arial" w:hAnsi="Arial" w:cs="Arial"/>
                <w:b/>
                <w:sz w:val="20"/>
                <w:szCs w:val="20"/>
              </w:rPr>
            </w:pPr>
            <w:r w:rsidRPr="00BB53C0">
              <w:rPr>
                <w:rFonts w:ascii="Arial" w:hAnsi="Arial" w:cs="Arial"/>
                <w:b/>
                <w:sz w:val="20"/>
                <w:szCs w:val="20"/>
              </w:rPr>
              <w:t xml:space="preserve">Donaciones </w:t>
            </w:r>
          </w:p>
        </w:tc>
      </w:tr>
      <w:tr w:rsidR="00E01CA0" w:rsidRPr="00BB53C0" w14:paraId="4D4EC115" w14:textId="77777777" w:rsidTr="00E01CA0">
        <w:trPr>
          <w:trHeight w:val="1147"/>
          <w:jc w:val="center"/>
        </w:trPr>
        <w:tc>
          <w:tcPr>
            <w:tcW w:w="2124" w:type="dxa"/>
            <w:vMerge w:val="restart"/>
            <w:shd w:val="clear" w:color="auto" w:fill="DAEEF3" w:themeFill="accent5" w:themeFillTint="33"/>
          </w:tcPr>
          <w:p w14:paraId="2BA00AAB"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Protocolo para la Inserción Sociolaboral de Justicia Juvenil Restaurativa (Protocolo de actuación, instrumento digital, y malla curricular).</w:t>
            </w:r>
          </w:p>
        </w:tc>
        <w:tc>
          <w:tcPr>
            <w:tcW w:w="2126" w:type="dxa"/>
            <w:vMerge w:val="restart"/>
            <w:shd w:val="clear" w:color="auto" w:fill="B6DDE8" w:themeFill="accent5" w:themeFillTint="66"/>
          </w:tcPr>
          <w:p w14:paraId="35C60DCD"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Videos sobre Justicia Juvenil Restaurativa para la capacitación del personal judicial (4 videos explicativos sobre las diferentes diligencias que comprenden el proceso juvenil restaurativo)</w:t>
            </w:r>
          </w:p>
        </w:tc>
        <w:tc>
          <w:tcPr>
            <w:tcW w:w="2076" w:type="dxa"/>
            <w:shd w:val="clear" w:color="auto" w:fill="92CDDC" w:themeFill="accent5" w:themeFillTint="99"/>
          </w:tcPr>
          <w:p w14:paraId="0A0C367C"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Taller sobre Atención de Personas con Discapacidad dirigido a personal judicial de Puntarenas (impartido virtualmente los días 29/06/2020 y 02/07/2020, a 20 personas).</w:t>
            </w:r>
          </w:p>
        </w:tc>
        <w:tc>
          <w:tcPr>
            <w:tcW w:w="1721" w:type="dxa"/>
            <w:shd w:val="clear" w:color="auto" w:fill="4BACC6" w:themeFill="accent5"/>
          </w:tcPr>
          <w:p w14:paraId="1192F1B1"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 xml:space="preserve">7 computadoras portátiles </w:t>
            </w:r>
          </w:p>
        </w:tc>
      </w:tr>
      <w:tr w:rsidR="00E01CA0" w:rsidRPr="00BB53C0" w14:paraId="6D2A4258" w14:textId="77777777" w:rsidTr="00E01CA0">
        <w:trPr>
          <w:trHeight w:val="2089"/>
          <w:jc w:val="center"/>
        </w:trPr>
        <w:tc>
          <w:tcPr>
            <w:tcW w:w="2124" w:type="dxa"/>
            <w:vMerge/>
            <w:shd w:val="clear" w:color="auto" w:fill="DAEEF3" w:themeFill="accent5" w:themeFillTint="33"/>
          </w:tcPr>
          <w:p w14:paraId="61521BCB" w14:textId="77777777" w:rsidR="00E01CA0" w:rsidRPr="00BB53C0" w:rsidRDefault="00E01CA0" w:rsidP="00E01CA0">
            <w:pPr>
              <w:spacing w:after="0" w:line="240" w:lineRule="auto"/>
              <w:jc w:val="both"/>
              <w:rPr>
                <w:rFonts w:ascii="Arial" w:hAnsi="Arial" w:cs="Arial"/>
                <w:sz w:val="18"/>
                <w:szCs w:val="18"/>
              </w:rPr>
            </w:pPr>
          </w:p>
        </w:tc>
        <w:tc>
          <w:tcPr>
            <w:tcW w:w="2126" w:type="dxa"/>
            <w:vMerge/>
            <w:shd w:val="clear" w:color="auto" w:fill="B6DDE8" w:themeFill="accent5" w:themeFillTint="66"/>
          </w:tcPr>
          <w:p w14:paraId="26011A6E" w14:textId="77777777" w:rsidR="00E01CA0" w:rsidRPr="00BB53C0" w:rsidRDefault="00E01CA0" w:rsidP="00E01CA0">
            <w:pPr>
              <w:spacing w:after="0" w:line="240" w:lineRule="auto"/>
              <w:jc w:val="both"/>
              <w:rPr>
                <w:rFonts w:ascii="Arial" w:hAnsi="Arial" w:cs="Arial"/>
                <w:sz w:val="18"/>
                <w:szCs w:val="18"/>
              </w:rPr>
            </w:pPr>
          </w:p>
        </w:tc>
        <w:tc>
          <w:tcPr>
            <w:tcW w:w="2076" w:type="dxa"/>
            <w:shd w:val="clear" w:color="auto" w:fill="92CDDC" w:themeFill="accent5" w:themeFillTint="99"/>
          </w:tcPr>
          <w:p w14:paraId="135FC614"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Taller sobre Justicia Juvenil Restaurativa dirigido a Personas Funcionarias de Instituciones que brindan Tratamiento ante el Consumo de Sustancias Psicoactivas de Personas Menores de Edad en Limón (brindado virtualmente los días 17, 22 y 29/07/2020 y el 05/08/2020, a 18 personas).</w:t>
            </w:r>
          </w:p>
        </w:tc>
        <w:tc>
          <w:tcPr>
            <w:tcW w:w="1721" w:type="dxa"/>
            <w:vMerge w:val="restart"/>
            <w:shd w:val="clear" w:color="auto" w:fill="4BACC6" w:themeFill="accent5"/>
          </w:tcPr>
          <w:p w14:paraId="5C3EB81E"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 xml:space="preserve">4 proyectores </w:t>
            </w:r>
          </w:p>
        </w:tc>
      </w:tr>
      <w:tr w:rsidR="00E01CA0" w:rsidRPr="00BB53C0" w14:paraId="7FD79B44" w14:textId="77777777" w:rsidTr="00E01CA0">
        <w:trPr>
          <w:trHeight w:val="1175"/>
          <w:jc w:val="center"/>
        </w:trPr>
        <w:tc>
          <w:tcPr>
            <w:tcW w:w="2124" w:type="dxa"/>
            <w:vMerge/>
            <w:shd w:val="clear" w:color="auto" w:fill="DAEEF3" w:themeFill="accent5" w:themeFillTint="33"/>
          </w:tcPr>
          <w:p w14:paraId="094015F2" w14:textId="77777777" w:rsidR="00E01CA0" w:rsidRPr="00BB53C0" w:rsidRDefault="00E01CA0" w:rsidP="00E01CA0">
            <w:pPr>
              <w:spacing w:after="0" w:line="240" w:lineRule="auto"/>
              <w:jc w:val="both"/>
              <w:rPr>
                <w:rFonts w:ascii="Arial" w:hAnsi="Arial" w:cs="Arial"/>
                <w:sz w:val="18"/>
                <w:szCs w:val="18"/>
              </w:rPr>
            </w:pPr>
          </w:p>
        </w:tc>
        <w:tc>
          <w:tcPr>
            <w:tcW w:w="2126" w:type="dxa"/>
            <w:vMerge/>
            <w:shd w:val="clear" w:color="auto" w:fill="B6DDE8" w:themeFill="accent5" w:themeFillTint="66"/>
          </w:tcPr>
          <w:p w14:paraId="7A968EA5" w14:textId="77777777" w:rsidR="00E01CA0" w:rsidRPr="00BB53C0" w:rsidRDefault="00E01CA0" w:rsidP="00E01CA0">
            <w:pPr>
              <w:spacing w:after="0" w:line="240" w:lineRule="auto"/>
              <w:jc w:val="both"/>
              <w:rPr>
                <w:rFonts w:ascii="Arial" w:hAnsi="Arial" w:cs="Arial"/>
                <w:sz w:val="18"/>
                <w:szCs w:val="18"/>
              </w:rPr>
            </w:pPr>
          </w:p>
        </w:tc>
        <w:tc>
          <w:tcPr>
            <w:tcW w:w="2076" w:type="dxa"/>
            <w:shd w:val="clear" w:color="auto" w:fill="92CDDC" w:themeFill="accent5" w:themeFillTint="99"/>
          </w:tcPr>
          <w:p w14:paraId="7CEB56CF"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Acto de divulgación sobre Justicia Juvenil Restaurativa dirigido al personal judicial (celebrado de manera virtual el 27/08/2020, y con participación de 11 personas)</w:t>
            </w:r>
          </w:p>
        </w:tc>
        <w:tc>
          <w:tcPr>
            <w:tcW w:w="1721" w:type="dxa"/>
            <w:vMerge/>
            <w:shd w:val="clear" w:color="auto" w:fill="4BACC6" w:themeFill="accent5"/>
          </w:tcPr>
          <w:p w14:paraId="6B6E419A" w14:textId="77777777" w:rsidR="00E01CA0" w:rsidRPr="00BB53C0" w:rsidRDefault="00E01CA0" w:rsidP="00E01CA0">
            <w:pPr>
              <w:spacing w:after="0" w:line="240" w:lineRule="auto"/>
              <w:jc w:val="both"/>
              <w:rPr>
                <w:rFonts w:ascii="Arial" w:hAnsi="Arial" w:cs="Arial"/>
                <w:sz w:val="18"/>
                <w:szCs w:val="18"/>
              </w:rPr>
            </w:pPr>
          </w:p>
        </w:tc>
      </w:tr>
      <w:tr w:rsidR="00E01CA0" w:rsidRPr="00BB53C0" w14:paraId="213FB414" w14:textId="77777777" w:rsidTr="00E01CA0">
        <w:trPr>
          <w:trHeight w:val="1355"/>
          <w:jc w:val="center"/>
        </w:trPr>
        <w:tc>
          <w:tcPr>
            <w:tcW w:w="2124" w:type="dxa"/>
            <w:vMerge w:val="restart"/>
            <w:shd w:val="clear" w:color="auto" w:fill="DAEEF3" w:themeFill="accent5" w:themeFillTint="33"/>
          </w:tcPr>
          <w:p w14:paraId="0D6C7651"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Protocolo de Interacción con la Policía Judicial de Justicia Juvenil Restaurativa.</w:t>
            </w:r>
          </w:p>
        </w:tc>
        <w:tc>
          <w:tcPr>
            <w:tcW w:w="2126" w:type="dxa"/>
            <w:vMerge w:val="restart"/>
            <w:shd w:val="clear" w:color="auto" w:fill="B6DDE8" w:themeFill="accent5" w:themeFillTint="66"/>
          </w:tcPr>
          <w:p w14:paraId="1503C996"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Videos preventivos dirigidos a personas menores de edad (2 videos cuyo objetivo es la prevención del delito en personas menores de edad).</w:t>
            </w:r>
          </w:p>
        </w:tc>
        <w:tc>
          <w:tcPr>
            <w:tcW w:w="2076" w:type="dxa"/>
            <w:shd w:val="clear" w:color="auto" w:fill="92CDDC" w:themeFill="accent5" w:themeFillTint="99"/>
          </w:tcPr>
          <w:p w14:paraId="4D592FE5"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Capacitación sobre el Protocolo de Inserción Sociolaboral de Justicia Juvenil Restaurativa (brindada de manera virtual el día 18/08/2020, a 31 personas).</w:t>
            </w:r>
          </w:p>
        </w:tc>
        <w:tc>
          <w:tcPr>
            <w:tcW w:w="1721" w:type="dxa"/>
            <w:vMerge/>
            <w:shd w:val="clear" w:color="auto" w:fill="4BACC6" w:themeFill="accent5"/>
          </w:tcPr>
          <w:p w14:paraId="718F4B11" w14:textId="77777777" w:rsidR="00E01CA0" w:rsidRPr="00BB53C0" w:rsidRDefault="00E01CA0" w:rsidP="00E01CA0">
            <w:pPr>
              <w:spacing w:after="0" w:line="240" w:lineRule="auto"/>
              <w:jc w:val="both"/>
              <w:rPr>
                <w:rFonts w:ascii="Arial" w:hAnsi="Arial" w:cs="Arial"/>
                <w:sz w:val="18"/>
                <w:szCs w:val="18"/>
              </w:rPr>
            </w:pPr>
          </w:p>
        </w:tc>
      </w:tr>
      <w:tr w:rsidR="00E01CA0" w:rsidRPr="00BB53C0" w14:paraId="677931E6" w14:textId="77777777" w:rsidTr="00E01CA0">
        <w:trPr>
          <w:trHeight w:val="134"/>
          <w:jc w:val="center"/>
        </w:trPr>
        <w:tc>
          <w:tcPr>
            <w:tcW w:w="2124" w:type="dxa"/>
            <w:vMerge/>
            <w:shd w:val="clear" w:color="auto" w:fill="DAEEF3" w:themeFill="accent5" w:themeFillTint="33"/>
          </w:tcPr>
          <w:p w14:paraId="23EC2222" w14:textId="77777777" w:rsidR="00E01CA0" w:rsidRPr="00BB53C0" w:rsidRDefault="00E01CA0" w:rsidP="00E01CA0">
            <w:pPr>
              <w:spacing w:after="0" w:line="240" w:lineRule="auto"/>
              <w:jc w:val="both"/>
              <w:rPr>
                <w:rFonts w:ascii="Arial" w:hAnsi="Arial" w:cs="Arial"/>
                <w:sz w:val="18"/>
                <w:szCs w:val="18"/>
              </w:rPr>
            </w:pPr>
          </w:p>
        </w:tc>
        <w:tc>
          <w:tcPr>
            <w:tcW w:w="2126" w:type="dxa"/>
            <w:vMerge/>
            <w:shd w:val="clear" w:color="auto" w:fill="B6DDE8" w:themeFill="accent5" w:themeFillTint="66"/>
          </w:tcPr>
          <w:p w14:paraId="34E6350A" w14:textId="77777777" w:rsidR="00E01CA0" w:rsidRPr="00BB53C0" w:rsidRDefault="00E01CA0" w:rsidP="00E01CA0">
            <w:pPr>
              <w:spacing w:after="0" w:line="240" w:lineRule="auto"/>
              <w:jc w:val="both"/>
              <w:rPr>
                <w:rFonts w:ascii="Arial" w:hAnsi="Arial" w:cs="Arial"/>
                <w:sz w:val="18"/>
                <w:szCs w:val="18"/>
              </w:rPr>
            </w:pPr>
          </w:p>
        </w:tc>
        <w:tc>
          <w:tcPr>
            <w:tcW w:w="2076" w:type="dxa"/>
            <w:shd w:val="clear" w:color="auto" w:fill="92CDDC" w:themeFill="accent5" w:themeFillTint="99"/>
          </w:tcPr>
          <w:p w14:paraId="7E8D8D6E"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Capacitación sobre el Protocolo de Interacción con la Policía Judicial de Justicia Juvenil Restaurativa (brindada de manera virtual el 21/09/2020, a 19 personas).</w:t>
            </w:r>
          </w:p>
        </w:tc>
        <w:tc>
          <w:tcPr>
            <w:tcW w:w="1721" w:type="dxa"/>
            <w:vMerge/>
            <w:shd w:val="clear" w:color="auto" w:fill="4BACC6" w:themeFill="accent5"/>
          </w:tcPr>
          <w:p w14:paraId="1777BC22" w14:textId="77777777" w:rsidR="00E01CA0" w:rsidRPr="00BB53C0" w:rsidRDefault="00E01CA0" w:rsidP="00E01CA0">
            <w:pPr>
              <w:spacing w:after="0" w:line="240" w:lineRule="auto"/>
              <w:jc w:val="both"/>
              <w:rPr>
                <w:rFonts w:ascii="Arial" w:hAnsi="Arial" w:cs="Arial"/>
                <w:sz w:val="18"/>
                <w:szCs w:val="18"/>
              </w:rPr>
            </w:pPr>
          </w:p>
        </w:tc>
      </w:tr>
      <w:tr w:rsidR="00E01CA0" w:rsidRPr="00BB53C0" w14:paraId="0711A7B7" w14:textId="77777777" w:rsidTr="00E01CA0">
        <w:trPr>
          <w:trHeight w:val="134"/>
          <w:jc w:val="center"/>
        </w:trPr>
        <w:tc>
          <w:tcPr>
            <w:tcW w:w="2124" w:type="dxa"/>
            <w:vMerge/>
            <w:shd w:val="clear" w:color="auto" w:fill="DAEEF3" w:themeFill="accent5" w:themeFillTint="33"/>
          </w:tcPr>
          <w:p w14:paraId="2F7C44AF" w14:textId="77777777" w:rsidR="00E01CA0" w:rsidRPr="00BB53C0" w:rsidRDefault="00E01CA0" w:rsidP="00E01CA0">
            <w:pPr>
              <w:spacing w:after="0" w:line="240" w:lineRule="auto"/>
              <w:jc w:val="both"/>
              <w:rPr>
                <w:rFonts w:ascii="Arial" w:hAnsi="Arial" w:cs="Arial"/>
                <w:sz w:val="18"/>
                <w:szCs w:val="18"/>
              </w:rPr>
            </w:pPr>
          </w:p>
        </w:tc>
        <w:tc>
          <w:tcPr>
            <w:tcW w:w="2126" w:type="dxa"/>
            <w:vMerge/>
            <w:shd w:val="clear" w:color="auto" w:fill="B6DDE8" w:themeFill="accent5" w:themeFillTint="66"/>
          </w:tcPr>
          <w:p w14:paraId="4D63B847" w14:textId="77777777" w:rsidR="00E01CA0" w:rsidRPr="00BB53C0" w:rsidRDefault="00E01CA0" w:rsidP="00E01CA0">
            <w:pPr>
              <w:spacing w:after="0" w:line="240" w:lineRule="auto"/>
              <w:jc w:val="both"/>
              <w:rPr>
                <w:rFonts w:ascii="Arial" w:hAnsi="Arial" w:cs="Arial"/>
                <w:sz w:val="18"/>
                <w:szCs w:val="18"/>
              </w:rPr>
            </w:pPr>
          </w:p>
        </w:tc>
        <w:tc>
          <w:tcPr>
            <w:tcW w:w="2076" w:type="dxa"/>
            <w:shd w:val="clear" w:color="auto" w:fill="92CDDC" w:themeFill="accent5" w:themeFillTint="99"/>
          </w:tcPr>
          <w:p w14:paraId="05A1594F"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Acto de divulgación sobre Justicia Juvenil Restaurativa dirigido a la comunidad (celebrado de manera virtual el 29/09/2020, y con participación de XX personas).</w:t>
            </w:r>
          </w:p>
        </w:tc>
        <w:tc>
          <w:tcPr>
            <w:tcW w:w="1721" w:type="dxa"/>
            <w:vMerge/>
            <w:shd w:val="clear" w:color="auto" w:fill="4BACC6" w:themeFill="accent5"/>
          </w:tcPr>
          <w:p w14:paraId="19EBD330" w14:textId="77777777" w:rsidR="00E01CA0" w:rsidRPr="00BB53C0" w:rsidRDefault="00E01CA0" w:rsidP="00E01CA0">
            <w:pPr>
              <w:spacing w:after="0" w:line="240" w:lineRule="auto"/>
              <w:jc w:val="both"/>
              <w:rPr>
                <w:rFonts w:ascii="Arial" w:hAnsi="Arial" w:cs="Arial"/>
                <w:sz w:val="18"/>
                <w:szCs w:val="18"/>
              </w:rPr>
            </w:pPr>
          </w:p>
        </w:tc>
      </w:tr>
      <w:tr w:rsidR="00E01CA0" w:rsidRPr="00BB53C0" w14:paraId="3A994AED" w14:textId="77777777" w:rsidTr="00E01CA0">
        <w:trPr>
          <w:trHeight w:val="214"/>
          <w:jc w:val="center"/>
        </w:trPr>
        <w:tc>
          <w:tcPr>
            <w:tcW w:w="2124" w:type="dxa"/>
            <w:vMerge/>
            <w:shd w:val="clear" w:color="auto" w:fill="DAEEF3" w:themeFill="accent5" w:themeFillTint="33"/>
          </w:tcPr>
          <w:p w14:paraId="4B5BD1B3" w14:textId="77777777" w:rsidR="00E01CA0" w:rsidRPr="00BB53C0" w:rsidRDefault="00E01CA0" w:rsidP="00E01CA0">
            <w:pPr>
              <w:spacing w:after="0" w:line="240" w:lineRule="auto"/>
              <w:jc w:val="both"/>
              <w:rPr>
                <w:rFonts w:ascii="Arial" w:hAnsi="Arial" w:cs="Arial"/>
                <w:sz w:val="18"/>
                <w:szCs w:val="18"/>
              </w:rPr>
            </w:pPr>
          </w:p>
        </w:tc>
        <w:tc>
          <w:tcPr>
            <w:tcW w:w="2126" w:type="dxa"/>
            <w:vMerge/>
            <w:shd w:val="clear" w:color="auto" w:fill="B6DDE8" w:themeFill="accent5" w:themeFillTint="66"/>
          </w:tcPr>
          <w:p w14:paraId="1C889F0A" w14:textId="77777777" w:rsidR="00E01CA0" w:rsidRPr="00BB53C0" w:rsidRDefault="00E01CA0" w:rsidP="00E01CA0">
            <w:pPr>
              <w:spacing w:after="0" w:line="240" w:lineRule="auto"/>
              <w:jc w:val="both"/>
              <w:rPr>
                <w:rFonts w:ascii="Arial" w:hAnsi="Arial" w:cs="Arial"/>
                <w:sz w:val="18"/>
                <w:szCs w:val="18"/>
              </w:rPr>
            </w:pPr>
          </w:p>
        </w:tc>
        <w:tc>
          <w:tcPr>
            <w:tcW w:w="2076" w:type="dxa"/>
            <w:vMerge w:val="restart"/>
            <w:shd w:val="clear" w:color="auto" w:fill="92CDDC" w:themeFill="accent5" w:themeFillTint="99"/>
          </w:tcPr>
          <w:p w14:paraId="404A0266"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Capacitación sobre la Matriz de Factores de Riesgo y Factores Protectores para la Elaboración de Planes Reparadores en Justicia Juvenil Restaurativa (brindada de manera virtual los días 06 y 23/10/2020, a 17 personas).</w:t>
            </w:r>
          </w:p>
        </w:tc>
        <w:tc>
          <w:tcPr>
            <w:tcW w:w="1721" w:type="dxa"/>
            <w:vMerge w:val="restart"/>
            <w:shd w:val="clear" w:color="auto" w:fill="4BACC6" w:themeFill="accent5"/>
          </w:tcPr>
          <w:p w14:paraId="724ACCA2" w14:textId="77777777" w:rsidR="00E01CA0" w:rsidRPr="00BB53C0" w:rsidRDefault="00E01CA0" w:rsidP="00E01CA0">
            <w:pPr>
              <w:spacing w:after="0" w:line="240" w:lineRule="auto"/>
              <w:jc w:val="both"/>
              <w:rPr>
                <w:rFonts w:ascii="Arial" w:hAnsi="Arial" w:cs="Arial"/>
                <w:sz w:val="18"/>
                <w:szCs w:val="18"/>
              </w:rPr>
            </w:pPr>
          </w:p>
        </w:tc>
      </w:tr>
      <w:tr w:rsidR="00E01CA0" w:rsidRPr="00BB53C0" w14:paraId="199FA077" w14:textId="77777777" w:rsidTr="00E01CA0">
        <w:trPr>
          <w:trHeight w:val="214"/>
          <w:jc w:val="center"/>
        </w:trPr>
        <w:tc>
          <w:tcPr>
            <w:tcW w:w="2124" w:type="dxa"/>
            <w:vMerge w:val="restart"/>
            <w:shd w:val="clear" w:color="auto" w:fill="DAEEF3" w:themeFill="accent5" w:themeFillTint="33"/>
          </w:tcPr>
          <w:p w14:paraId="25DC4B7A"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Matriz de Factores de Riesgo y Factores Protectores para la Construcción de Planes Reparadores en Justicia Juvenil Restaurativa (Matriz digital y Manual de uso).</w:t>
            </w:r>
          </w:p>
        </w:tc>
        <w:tc>
          <w:tcPr>
            <w:tcW w:w="2126" w:type="dxa"/>
            <w:vMerge/>
            <w:shd w:val="clear" w:color="auto" w:fill="B6DDE8" w:themeFill="accent5" w:themeFillTint="66"/>
          </w:tcPr>
          <w:p w14:paraId="0F4857F2" w14:textId="77777777" w:rsidR="00E01CA0" w:rsidRPr="00BB53C0" w:rsidRDefault="00E01CA0" w:rsidP="00E01CA0">
            <w:pPr>
              <w:spacing w:after="0" w:line="240" w:lineRule="auto"/>
              <w:jc w:val="both"/>
              <w:rPr>
                <w:rFonts w:ascii="Arial" w:hAnsi="Arial" w:cs="Arial"/>
                <w:sz w:val="18"/>
                <w:szCs w:val="18"/>
              </w:rPr>
            </w:pPr>
          </w:p>
        </w:tc>
        <w:tc>
          <w:tcPr>
            <w:tcW w:w="2076" w:type="dxa"/>
            <w:vMerge/>
            <w:shd w:val="clear" w:color="auto" w:fill="92CDDC" w:themeFill="accent5" w:themeFillTint="99"/>
          </w:tcPr>
          <w:p w14:paraId="6562A379" w14:textId="77777777" w:rsidR="00E01CA0" w:rsidRPr="00BB53C0" w:rsidRDefault="00E01CA0" w:rsidP="00E01CA0">
            <w:pPr>
              <w:spacing w:after="0" w:line="240" w:lineRule="auto"/>
              <w:jc w:val="both"/>
              <w:rPr>
                <w:rFonts w:ascii="Arial" w:hAnsi="Arial" w:cs="Arial"/>
                <w:sz w:val="18"/>
                <w:szCs w:val="18"/>
              </w:rPr>
            </w:pPr>
          </w:p>
        </w:tc>
        <w:tc>
          <w:tcPr>
            <w:tcW w:w="1721" w:type="dxa"/>
            <w:vMerge/>
            <w:shd w:val="clear" w:color="auto" w:fill="4BACC6" w:themeFill="accent5"/>
          </w:tcPr>
          <w:p w14:paraId="14263A84" w14:textId="77777777" w:rsidR="00E01CA0" w:rsidRPr="00BB53C0" w:rsidRDefault="00E01CA0" w:rsidP="00E01CA0">
            <w:pPr>
              <w:spacing w:after="0" w:line="240" w:lineRule="auto"/>
              <w:jc w:val="both"/>
              <w:rPr>
                <w:rFonts w:ascii="Arial" w:hAnsi="Arial" w:cs="Arial"/>
                <w:sz w:val="18"/>
                <w:szCs w:val="18"/>
              </w:rPr>
            </w:pPr>
          </w:p>
        </w:tc>
      </w:tr>
      <w:tr w:rsidR="00E01CA0" w:rsidRPr="00BB53C0" w14:paraId="1010BF18" w14:textId="77777777" w:rsidTr="00E01CA0">
        <w:trPr>
          <w:trHeight w:val="134"/>
          <w:jc w:val="center"/>
        </w:trPr>
        <w:tc>
          <w:tcPr>
            <w:tcW w:w="2124" w:type="dxa"/>
            <w:vMerge/>
            <w:shd w:val="clear" w:color="auto" w:fill="DAEEF3" w:themeFill="accent5" w:themeFillTint="33"/>
          </w:tcPr>
          <w:p w14:paraId="1BDBA5C9" w14:textId="77777777" w:rsidR="00E01CA0" w:rsidRPr="00BB53C0" w:rsidRDefault="00E01CA0" w:rsidP="00E01CA0">
            <w:pPr>
              <w:spacing w:after="0" w:line="240" w:lineRule="auto"/>
              <w:jc w:val="both"/>
              <w:rPr>
                <w:rFonts w:ascii="Arial" w:hAnsi="Arial" w:cs="Arial"/>
                <w:sz w:val="18"/>
                <w:szCs w:val="18"/>
              </w:rPr>
            </w:pPr>
          </w:p>
        </w:tc>
        <w:tc>
          <w:tcPr>
            <w:tcW w:w="2126" w:type="dxa"/>
            <w:vMerge/>
            <w:shd w:val="clear" w:color="auto" w:fill="B6DDE8" w:themeFill="accent5" w:themeFillTint="66"/>
          </w:tcPr>
          <w:p w14:paraId="5473DE78" w14:textId="77777777" w:rsidR="00E01CA0" w:rsidRPr="00BB53C0" w:rsidRDefault="00E01CA0" w:rsidP="00E01CA0">
            <w:pPr>
              <w:spacing w:after="0" w:line="240" w:lineRule="auto"/>
              <w:jc w:val="both"/>
              <w:rPr>
                <w:rFonts w:ascii="Arial" w:hAnsi="Arial" w:cs="Arial"/>
                <w:sz w:val="18"/>
                <w:szCs w:val="18"/>
              </w:rPr>
            </w:pPr>
          </w:p>
        </w:tc>
        <w:tc>
          <w:tcPr>
            <w:tcW w:w="2076" w:type="dxa"/>
            <w:shd w:val="clear" w:color="auto" w:fill="92CDDC" w:themeFill="accent5" w:themeFillTint="99"/>
          </w:tcPr>
          <w:p w14:paraId="7C2A823F" w14:textId="77777777" w:rsidR="00E01CA0" w:rsidRPr="00BB53C0" w:rsidRDefault="00E01CA0" w:rsidP="00E01CA0">
            <w:pPr>
              <w:spacing w:after="0" w:line="240" w:lineRule="auto"/>
              <w:jc w:val="both"/>
              <w:rPr>
                <w:rFonts w:ascii="Arial" w:hAnsi="Arial" w:cs="Arial"/>
                <w:sz w:val="18"/>
                <w:szCs w:val="18"/>
              </w:rPr>
            </w:pPr>
            <w:r w:rsidRPr="00BB53C0">
              <w:rPr>
                <w:rFonts w:ascii="Arial" w:hAnsi="Arial" w:cs="Arial"/>
                <w:sz w:val="18"/>
                <w:szCs w:val="18"/>
              </w:rPr>
              <w:t>Talleres virtuales impartidos a personas menores de edad en conflicto con la ley sobre Habilidades para la vida y Habilidades para la inserción sociolaboral (brindado mediante la plataforma Moodle, a 10 personas).</w:t>
            </w:r>
          </w:p>
        </w:tc>
        <w:tc>
          <w:tcPr>
            <w:tcW w:w="1721" w:type="dxa"/>
            <w:shd w:val="clear" w:color="auto" w:fill="4BACC6" w:themeFill="accent5"/>
          </w:tcPr>
          <w:p w14:paraId="05D3B73B" w14:textId="77777777" w:rsidR="00E01CA0" w:rsidRPr="00BB53C0" w:rsidRDefault="00E01CA0" w:rsidP="00E01CA0">
            <w:pPr>
              <w:spacing w:after="0" w:line="240" w:lineRule="auto"/>
              <w:jc w:val="both"/>
              <w:rPr>
                <w:rFonts w:ascii="Arial" w:hAnsi="Arial" w:cs="Arial"/>
                <w:sz w:val="18"/>
                <w:szCs w:val="18"/>
              </w:rPr>
            </w:pPr>
          </w:p>
          <w:p w14:paraId="26290E27" w14:textId="77777777" w:rsidR="00E01CA0" w:rsidRPr="00BB53C0" w:rsidRDefault="00E01CA0" w:rsidP="00E01CA0">
            <w:pPr>
              <w:spacing w:after="0" w:line="240" w:lineRule="auto"/>
              <w:jc w:val="center"/>
              <w:rPr>
                <w:rFonts w:ascii="Arial" w:hAnsi="Arial" w:cs="Arial"/>
                <w:sz w:val="18"/>
                <w:szCs w:val="18"/>
              </w:rPr>
            </w:pPr>
          </w:p>
        </w:tc>
      </w:tr>
    </w:tbl>
    <w:p w14:paraId="576DD774" w14:textId="48B1C3D5" w:rsidR="00E01CA0" w:rsidRPr="00A82FBE" w:rsidRDefault="00A82FBE" w:rsidP="00A82FBE">
      <w:pPr>
        <w:pStyle w:val="Ttulo2"/>
        <w:numPr>
          <w:ilvl w:val="0"/>
          <w:numId w:val="0"/>
        </w:numPr>
        <w:spacing w:line="360" w:lineRule="auto"/>
        <w:rPr>
          <w:rFonts w:cs="Arial"/>
          <w:sz w:val="24"/>
          <w:szCs w:val="24"/>
        </w:rPr>
      </w:pPr>
      <w:r>
        <w:rPr>
          <w:rFonts w:cs="Arial"/>
          <w:sz w:val="24"/>
          <w:szCs w:val="24"/>
        </w:rPr>
        <w:t>P</w:t>
      </w:r>
      <w:r w:rsidR="00E01CA0" w:rsidRPr="00A82FBE">
        <w:rPr>
          <w:rFonts w:cs="Arial"/>
          <w:sz w:val="24"/>
          <w:szCs w:val="24"/>
        </w:rPr>
        <w:t>royecto de Fortalecimiento de Justicia Juvenil Restaurativa y Penal Juvenil.</w:t>
      </w:r>
    </w:p>
    <w:p w14:paraId="2BEF6BA9"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El proyecto Fortalecimiento de Penal Juvenil y Justicia Juvenil Restaurativa es financiado por el Fondo de Naciones Unidas para la Infancia (UNICEF) consiste en una cooperación internacional cuyo objetivo es la agilización de la resolución de conflictos penales juveniles, juveniles restaurativos y el abordaje de la delincuencia juvenil desde una óptica integral.</w:t>
      </w:r>
    </w:p>
    <w:p w14:paraId="1B02092A"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Parte de los productos que se elaborarán en el marco del presente Proyecto se contempla la implementación del Programa de Mentoría Judicial, cuyo fin consiste en la elaboración de una red de personas que funjan como mentoras de personas menores de edad en conflicto con la ley, durante el período de cumplimiento de su salida alterna, y con ello, cuenten con una guía personalizada que les permita cumplir con sus compromisos judiciales.</w:t>
      </w:r>
    </w:p>
    <w:p w14:paraId="382650C6"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Cabe destacar que el presente Proyecto inició su ejecución en mayo del presente año, y durante este plazo se ha logrado elaborar la planificación y cronograma de ejecución del mismo, el documento de línea base para el Programa de Mentoría Judicial, la contratación de la fundación que brindará apoyo en el inicio del Programa de Mentoría Judicial, coordinaciones institucionales e interinstitucionales necesarias para el desarrollo de acciones, y la creación de instrumentos para el inicio del proceso de inscripción y selección de las personas mentoras.</w:t>
      </w:r>
    </w:p>
    <w:p w14:paraId="30F57E78" w14:textId="77777777" w:rsidR="00E01CA0" w:rsidRPr="00BB53C0" w:rsidRDefault="00E01CA0" w:rsidP="008D6AC5">
      <w:pPr>
        <w:spacing w:line="360" w:lineRule="auto"/>
        <w:jc w:val="both"/>
        <w:rPr>
          <w:rFonts w:ascii="Arial" w:hAnsi="Arial" w:cs="Arial"/>
          <w:sz w:val="24"/>
          <w:szCs w:val="24"/>
        </w:rPr>
      </w:pPr>
      <w:r w:rsidRPr="00BB53C0">
        <w:rPr>
          <w:rFonts w:ascii="Arial" w:hAnsi="Arial" w:cs="Arial"/>
          <w:sz w:val="24"/>
          <w:szCs w:val="24"/>
        </w:rPr>
        <w:t>Las anteriores acciones responden a preparativos imprescindibles para el inicio del desarrollo de los productos incluidos en el Proyecto, mismos que se estarán elaborando durante el año 2021.</w:t>
      </w:r>
    </w:p>
    <w:p w14:paraId="55018075" w14:textId="77777777" w:rsidR="00E01CA0" w:rsidRPr="00BB53C0" w:rsidRDefault="00E01CA0" w:rsidP="008D6AC5">
      <w:pPr>
        <w:spacing w:line="360" w:lineRule="auto"/>
        <w:jc w:val="both"/>
        <w:rPr>
          <w:rFonts w:ascii="Arial" w:hAnsi="Arial" w:cs="Arial"/>
          <w:sz w:val="24"/>
          <w:szCs w:val="24"/>
        </w:rPr>
      </w:pPr>
    </w:p>
    <w:p w14:paraId="35A9F18E" w14:textId="26A43631" w:rsidR="00E01CA0" w:rsidRPr="00A82FBE" w:rsidRDefault="00A82FBE" w:rsidP="00D77A62">
      <w:pPr>
        <w:pStyle w:val="Ttulo2"/>
        <w:numPr>
          <w:ilvl w:val="0"/>
          <w:numId w:val="0"/>
        </w:numPr>
        <w:spacing w:line="360" w:lineRule="auto"/>
        <w:ind w:left="860" w:hanging="576"/>
        <w:rPr>
          <w:rFonts w:cs="Arial"/>
          <w:sz w:val="24"/>
          <w:szCs w:val="24"/>
        </w:rPr>
      </w:pPr>
      <w:r>
        <w:rPr>
          <w:rFonts w:cs="Arial"/>
          <w:sz w:val="24"/>
          <w:szCs w:val="24"/>
        </w:rPr>
        <w:t xml:space="preserve"> P</w:t>
      </w:r>
      <w:r w:rsidR="00E01CA0" w:rsidRPr="00A82FBE">
        <w:rPr>
          <w:rFonts w:cs="Arial"/>
          <w:sz w:val="24"/>
          <w:szCs w:val="24"/>
        </w:rPr>
        <w:t>royecto Regional Fortalecimiento de la Justicia Restaurativa.</w:t>
      </w:r>
    </w:p>
    <w:p w14:paraId="53A4A163" w14:textId="77777777" w:rsidR="00E01CA0" w:rsidRPr="00BB53C0" w:rsidRDefault="00E01CA0" w:rsidP="008D6AC5">
      <w:pPr>
        <w:spacing w:after="0" w:line="360" w:lineRule="auto"/>
        <w:jc w:val="both"/>
        <w:rPr>
          <w:rFonts w:ascii="Arial" w:hAnsi="Arial" w:cs="Arial"/>
          <w:b/>
          <w:sz w:val="24"/>
          <w:szCs w:val="24"/>
        </w:rPr>
      </w:pPr>
    </w:p>
    <w:p w14:paraId="6DD033C5" w14:textId="77777777" w:rsidR="00E01CA0" w:rsidRPr="00BB53C0" w:rsidRDefault="00E01CA0" w:rsidP="008D6AC5">
      <w:pPr>
        <w:spacing w:after="0" w:line="360" w:lineRule="auto"/>
        <w:jc w:val="both"/>
        <w:rPr>
          <w:rFonts w:ascii="Arial" w:hAnsi="Arial" w:cs="Arial"/>
          <w:sz w:val="24"/>
          <w:szCs w:val="24"/>
        </w:rPr>
      </w:pPr>
      <w:r w:rsidRPr="00BB53C0">
        <w:rPr>
          <w:rFonts w:ascii="Arial" w:hAnsi="Arial" w:cs="Arial"/>
          <w:sz w:val="24"/>
          <w:szCs w:val="24"/>
        </w:rPr>
        <w:t xml:space="preserve">Este proyecto es coordinado por el Poder Judicial de Costa Rica, se ejecuta en conjunto con los Poderes Judiciales del Colombia y el Estado de México, todos los productos se alcanzaron entre el año 2017 y 2019; durante este 2020 se encuentra en fase de cierre y tiene un avance del 88%. </w:t>
      </w:r>
    </w:p>
    <w:p w14:paraId="675F007A" w14:textId="77777777" w:rsidR="00E01CA0" w:rsidRPr="00BB53C0" w:rsidRDefault="00E01CA0" w:rsidP="008D6AC5">
      <w:pPr>
        <w:pStyle w:val="Prrafodelista"/>
        <w:spacing w:after="0" w:line="360" w:lineRule="auto"/>
        <w:jc w:val="both"/>
        <w:rPr>
          <w:rFonts w:ascii="Arial" w:hAnsi="Arial" w:cs="Arial"/>
          <w:b/>
          <w:sz w:val="24"/>
          <w:szCs w:val="24"/>
        </w:rPr>
      </w:pPr>
    </w:p>
    <w:p w14:paraId="42A24886" w14:textId="6FF670A1" w:rsidR="00E01CA0" w:rsidRPr="00BB53C0" w:rsidRDefault="00A82FBE" w:rsidP="00A82FBE">
      <w:pPr>
        <w:pStyle w:val="Prrafodelista"/>
        <w:spacing w:after="0" w:line="360" w:lineRule="auto"/>
        <w:jc w:val="both"/>
        <w:rPr>
          <w:rFonts w:ascii="Arial" w:hAnsi="Arial" w:cs="Arial"/>
          <w:b/>
          <w:sz w:val="24"/>
          <w:szCs w:val="24"/>
        </w:rPr>
      </w:pPr>
      <w:r>
        <w:rPr>
          <w:rFonts w:ascii="Arial" w:hAnsi="Arial" w:cs="Arial"/>
          <w:b/>
          <w:sz w:val="24"/>
          <w:szCs w:val="24"/>
        </w:rPr>
        <w:t>P</w:t>
      </w:r>
      <w:r w:rsidR="00E01CA0" w:rsidRPr="00BB53C0">
        <w:rPr>
          <w:rFonts w:ascii="Arial" w:hAnsi="Arial" w:cs="Arial"/>
          <w:b/>
          <w:sz w:val="24"/>
          <w:szCs w:val="24"/>
        </w:rPr>
        <w:t>royecto de EuroSocial+</w:t>
      </w:r>
    </w:p>
    <w:p w14:paraId="66C50E59" w14:textId="77777777" w:rsidR="00E01CA0" w:rsidRPr="00BB53C0" w:rsidRDefault="00E01CA0" w:rsidP="008D6AC5">
      <w:pPr>
        <w:pStyle w:val="Prrafodelista"/>
        <w:spacing w:after="0" w:line="360" w:lineRule="auto"/>
        <w:jc w:val="both"/>
        <w:rPr>
          <w:rFonts w:ascii="Arial" w:hAnsi="Arial" w:cs="Arial"/>
          <w:sz w:val="24"/>
          <w:szCs w:val="24"/>
        </w:rPr>
      </w:pPr>
    </w:p>
    <w:p w14:paraId="38CDB0D7" w14:textId="4BA49AE5" w:rsidR="00B222F0" w:rsidRDefault="00E01CA0" w:rsidP="00A82FBE">
      <w:pPr>
        <w:spacing w:line="360" w:lineRule="auto"/>
        <w:jc w:val="both"/>
        <w:rPr>
          <w:rFonts w:ascii="Arial" w:hAnsi="Arial" w:cs="Arial"/>
          <w:sz w:val="24"/>
          <w:szCs w:val="24"/>
        </w:rPr>
      </w:pPr>
      <w:r w:rsidRPr="00EE7A41">
        <w:rPr>
          <w:rFonts w:ascii="Arial" w:hAnsi="Arial" w:cs="Arial"/>
          <w:sz w:val="24"/>
          <w:szCs w:val="24"/>
        </w:rPr>
        <w:t>Este proyecto se formuló y presentó ante la Unión Europea en conjunto con la Defensa Pública, durante este 2020 fue aprobado y se está a la espera de la comunicación por parte de EuroSocial+ para iniciar su ejecución.</w:t>
      </w:r>
    </w:p>
    <w:p w14:paraId="04D728B9" w14:textId="77777777" w:rsidR="00B222F0" w:rsidRDefault="00B222F0">
      <w:pPr>
        <w:spacing w:after="0" w:line="240" w:lineRule="auto"/>
        <w:rPr>
          <w:rFonts w:ascii="Arial" w:hAnsi="Arial" w:cs="Arial"/>
          <w:sz w:val="24"/>
          <w:szCs w:val="24"/>
        </w:rPr>
      </w:pPr>
      <w:r>
        <w:rPr>
          <w:rFonts w:ascii="Arial" w:hAnsi="Arial" w:cs="Arial"/>
          <w:sz w:val="24"/>
          <w:szCs w:val="24"/>
        </w:rPr>
        <w:br w:type="page"/>
      </w:r>
    </w:p>
    <w:p w14:paraId="7D734ED7" w14:textId="77777777" w:rsidR="00E01CA0" w:rsidRPr="00BB53C0" w:rsidRDefault="00E01CA0" w:rsidP="00A82FBE">
      <w:pPr>
        <w:spacing w:line="360" w:lineRule="auto"/>
        <w:jc w:val="both"/>
        <w:rPr>
          <w:rFonts w:ascii="Arial" w:hAnsi="Arial" w:cs="Arial"/>
          <w:sz w:val="24"/>
          <w:szCs w:val="24"/>
          <w:lang w:val="es-ES"/>
        </w:rPr>
      </w:pPr>
    </w:p>
    <w:p w14:paraId="206A188E" w14:textId="2198B684" w:rsidR="005D558B" w:rsidRPr="00D77A62" w:rsidRDefault="00A82FBE" w:rsidP="00D75EA6">
      <w:pPr>
        <w:pStyle w:val="Ttulo2"/>
        <w:numPr>
          <w:ilvl w:val="0"/>
          <w:numId w:val="0"/>
        </w:numPr>
        <w:jc w:val="center"/>
        <w:rPr>
          <w:rFonts w:cs="Arial"/>
          <w:sz w:val="28"/>
          <w:szCs w:val="28"/>
        </w:rPr>
      </w:pPr>
      <w:bookmarkStart w:id="45" w:name="_Toc510690330"/>
      <w:r w:rsidRPr="00D77A62">
        <w:rPr>
          <w:rFonts w:cs="Arial"/>
          <w:sz w:val="28"/>
          <w:szCs w:val="28"/>
          <w:u w:val="single"/>
        </w:rPr>
        <w:t>1</w:t>
      </w:r>
      <w:r w:rsidR="00D77A62" w:rsidRPr="00D77A62">
        <w:rPr>
          <w:rFonts w:cs="Arial"/>
          <w:sz w:val="28"/>
          <w:szCs w:val="28"/>
          <w:u w:val="single"/>
        </w:rPr>
        <w:t>7</w:t>
      </w:r>
      <w:r w:rsidRPr="00D77A62">
        <w:rPr>
          <w:rFonts w:cs="Arial"/>
          <w:sz w:val="28"/>
          <w:szCs w:val="28"/>
          <w:u w:val="single"/>
        </w:rPr>
        <w:t>- C</w:t>
      </w:r>
      <w:r w:rsidR="00C60AC2" w:rsidRPr="00D77A62">
        <w:rPr>
          <w:rFonts w:cs="Arial"/>
          <w:sz w:val="28"/>
          <w:szCs w:val="28"/>
          <w:u w:val="single"/>
        </w:rPr>
        <w:t>OMISION DE LA JURISDICCION PENAL</w:t>
      </w:r>
      <w:r w:rsidR="00490BB9" w:rsidRPr="00D77A62">
        <w:rPr>
          <w:rFonts w:cs="Arial"/>
          <w:sz w:val="28"/>
          <w:szCs w:val="28"/>
        </w:rPr>
        <w:t>.</w:t>
      </w:r>
      <w:bookmarkEnd w:id="45"/>
    </w:p>
    <w:p w14:paraId="7C9520D9" w14:textId="77777777" w:rsidR="00356493" w:rsidRPr="00BD648E" w:rsidRDefault="00356493" w:rsidP="00356493">
      <w:pPr>
        <w:spacing w:line="360" w:lineRule="auto"/>
        <w:ind w:firstLine="708"/>
        <w:jc w:val="both"/>
        <w:rPr>
          <w:rFonts w:ascii="Arial" w:hAnsi="Arial" w:cs="Arial"/>
          <w:sz w:val="24"/>
          <w:szCs w:val="24"/>
        </w:rPr>
      </w:pPr>
      <w:bookmarkStart w:id="46" w:name="_Toc25829599"/>
      <w:r w:rsidRPr="00BD648E">
        <w:rPr>
          <w:rFonts w:ascii="Arial" w:hAnsi="Arial" w:cs="Arial"/>
          <w:sz w:val="24"/>
          <w:szCs w:val="24"/>
        </w:rPr>
        <w:t xml:space="preserve">La Comisión de la Jurisdicción Penal fue creada por Corte Plena en la sesión No. 60-78 del 02 de octubre de 1978, en el artículo XVII. En aquel momento, los magistrados integrantes consideraron la necesidad de crear una comisión para que visitaran los juzgados penales que presentaban una cantidad importante de asuntos pendientes y para que los integrantes de esa comisión instruyeran a los funcionarios sobre aspectos prácticos de la tramitación judicial y si era necesario, que pusiera en conocimiento de la inspección judicial las demoras que obedecían a negligencia en la función. </w:t>
      </w:r>
    </w:p>
    <w:p w14:paraId="001A13F4"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Del acta de constitución se extrae: “</w:t>
      </w:r>
      <w:r w:rsidRPr="00BD648E">
        <w:rPr>
          <w:rFonts w:ascii="Arial" w:hAnsi="Arial" w:cs="Arial"/>
          <w:i/>
          <w:iCs/>
          <w:sz w:val="24"/>
          <w:szCs w:val="24"/>
        </w:rPr>
        <w:t>Dice el Magistrado Odio que al examinar los informes de la Sección de Estadística del Poder Judicial, se observa que en algunos Juzgados de la materia penal va en aumento el número de asuntos pendientes, lo que acarrea un grave perjuicio para las personas que se encuentran sometidas a proceso y guardan detención, y que al elevarse la cantidad de asuntos en trámite, el problema se agudiza y es menor la posibilidad de que esas oficinas se pongan al día; que por todo ello considera urgente buscar alguna solución, para lo cual propone que se nombre una comisión, a fin de que, con vista en los datos estadísticos, sus integrantes visiten los Juzgados que tienen un mayor número de asuntos activos e instruyan a los funcionarios sobre los aspectos prácticos de la tramitación judicial…”</w:t>
      </w:r>
    </w:p>
    <w:p w14:paraId="037C3982"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Posteriormente, en la sesión No. 46-79, del 13 de agosto de 1979, en el artículo XVIII, se resolvió sobre la reorganización de esta comisión, en el sentido de que su objetivo principal es ocuparse de todo lo relacionado con el sistema procesal penal para corregir defectos y uniformar criterios. </w:t>
      </w:r>
    </w:p>
    <w:p w14:paraId="4FB6D6BE" w14:textId="77777777" w:rsidR="00356493" w:rsidRPr="00BD648E" w:rsidRDefault="00356493" w:rsidP="00356493">
      <w:pPr>
        <w:spacing w:line="360" w:lineRule="auto"/>
        <w:jc w:val="both"/>
        <w:rPr>
          <w:rFonts w:ascii="Arial" w:hAnsi="Arial" w:cs="Arial"/>
          <w:sz w:val="24"/>
          <w:szCs w:val="24"/>
        </w:rPr>
      </w:pPr>
    </w:p>
    <w:p w14:paraId="345906CF"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b/>
          <w:sz w:val="24"/>
          <w:szCs w:val="24"/>
        </w:rPr>
        <w:tab/>
        <w:t>Coordinación de la Comisión</w:t>
      </w:r>
    </w:p>
    <w:p w14:paraId="56670758"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Actualmente, la Comisión es presidida por la Magistrada Presidenta de la Sala de Casación Penal, Patricia Solano Castro, cuya designación se realizó por Corte Plena en sesión No. 18-19 celebrada el 13 de mayo del año en curso, en la que se acordó: </w:t>
      </w:r>
    </w:p>
    <w:p w14:paraId="49919422"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 “</w:t>
      </w:r>
      <w:r w:rsidRPr="00BD648E">
        <w:rPr>
          <w:rFonts w:ascii="Arial" w:hAnsi="Arial" w:cs="Arial"/>
          <w:i/>
          <w:iCs/>
          <w:sz w:val="24"/>
          <w:szCs w:val="24"/>
        </w:rPr>
        <w:t>Tener por recibida la comunicación del Magistrado Ramírez, por ende, tener por designada a la Magistrada Solano como coordinadora de la Comisión de la Jurisdicción Penal</w:t>
      </w:r>
      <w:r w:rsidRPr="00BD648E">
        <w:rPr>
          <w:rFonts w:ascii="Arial" w:hAnsi="Arial" w:cs="Arial"/>
          <w:sz w:val="24"/>
          <w:szCs w:val="24"/>
        </w:rPr>
        <w:t>.”</w:t>
      </w:r>
    </w:p>
    <w:p w14:paraId="70ECBC08" w14:textId="77777777" w:rsidR="00356493" w:rsidRPr="00BD648E" w:rsidRDefault="00356493" w:rsidP="00356493">
      <w:pPr>
        <w:spacing w:line="360" w:lineRule="auto"/>
        <w:jc w:val="both"/>
        <w:rPr>
          <w:rFonts w:ascii="Arial" w:hAnsi="Arial" w:cs="Arial"/>
          <w:sz w:val="24"/>
          <w:szCs w:val="24"/>
        </w:rPr>
      </w:pPr>
    </w:p>
    <w:p w14:paraId="44F67D63" w14:textId="77777777" w:rsidR="00356493" w:rsidRPr="00BD648E" w:rsidRDefault="00356493" w:rsidP="00356493">
      <w:pPr>
        <w:spacing w:line="360" w:lineRule="auto"/>
        <w:ind w:firstLine="708"/>
        <w:jc w:val="both"/>
        <w:rPr>
          <w:rFonts w:ascii="Arial" w:hAnsi="Arial" w:cs="Arial"/>
          <w:sz w:val="24"/>
          <w:szCs w:val="24"/>
        </w:rPr>
      </w:pPr>
      <w:r w:rsidRPr="00BD648E">
        <w:rPr>
          <w:rFonts w:ascii="Arial" w:hAnsi="Arial" w:cs="Arial"/>
          <w:b/>
          <w:sz w:val="24"/>
          <w:szCs w:val="24"/>
        </w:rPr>
        <w:t>Objetivo de la Comisión.</w:t>
      </w:r>
      <w:r w:rsidRPr="00BD648E">
        <w:rPr>
          <w:rFonts w:ascii="Arial" w:hAnsi="Arial" w:cs="Arial"/>
          <w:sz w:val="24"/>
          <w:szCs w:val="24"/>
        </w:rPr>
        <w:t xml:space="preserve"> </w:t>
      </w:r>
    </w:p>
    <w:p w14:paraId="3F3509D2" w14:textId="77777777" w:rsidR="00356493" w:rsidRPr="00BD648E" w:rsidRDefault="00356493" w:rsidP="00356493">
      <w:pPr>
        <w:spacing w:line="360" w:lineRule="auto"/>
        <w:jc w:val="both"/>
        <w:rPr>
          <w:rFonts w:ascii="Arial" w:hAnsi="Arial" w:cs="Arial"/>
          <w:sz w:val="24"/>
          <w:szCs w:val="24"/>
        </w:rPr>
      </w:pPr>
    </w:p>
    <w:p w14:paraId="70C6825F"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La Comisión de la Jurisdicción Penal ha funcionado como un ente de apoyo para los órganos superiores del Poder Judicial, así como para los operadores del derecho penal y funcionarios y funcionarias en la materia, en lo que se refiere a la interpretación de la normativa atinente, de manera consecuente con los fines de su creación. Asimismo, emite criterios jurídicos de relevancia que se requieren para la toma de decisiones en la materia penal por parte de los órganos superiores del Poder Judicial como Consejo Superior y Corte Plena, esto, sin referirse a casos concretos que se encuentren en la vía judicial. </w:t>
      </w:r>
    </w:p>
    <w:p w14:paraId="0A84627D"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Se trata de la comisión que abarca la jurisdicción más grande del Poder Judicial, en cuanto a cantidad de funcionarios que laboran en la materia penal, así como la carga laboral más importante de la institución, por lo que se reciben más de 200 consultas al año y se sesiona al menos una vez al mes de forma ordinaria. Actualmente la Comisión lidera el Proyecto del Rediseño y Mejora Integral del Modelo Penal que se ejecuta por parte de la Dirección de Planificación, mismo que valga indicar, surgió en el seno de esta comisión, misma que ha coordinado todas las acciones relacionado con la operatividad del sistema de administración de justicia penal en medio de la pandemia ocasionada por el virus del Covid-19.</w:t>
      </w:r>
    </w:p>
    <w:p w14:paraId="13C2FF26"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El Proyecto de Mejora Integral del Modelo Penal, es ejecutado por la Dirección de Planificación, la cual requiere de la asesoría técnica de la Comisión no solo en lo referente a la interpretación de la normativa atinente sino de la forma de operar los diferentes tribunales, de manera que se pronuncia sobre los informes de previo a que sean remitidos para su aprobación al Consejo Superior, siendo que posteriormente vigila su implementación. </w:t>
      </w:r>
    </w:p>
    <w:p w14:paraId="3AC30EF3"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El proyecto tiene como objetivo principal la disminución en los tiempos de respuesta a las personas usuarias para la resolución de las causas en la materia penal e incrementar la efectividad de audiencias y debates con la respectiva articulación con el ámbito auxiliar de justicia. De modo que se encuentra alineado con el Plan Estratégico Institucional de Modernización (Innovación) de la Gestión Judicial y con su objetivo de sustituir las modalidades tradicionales de trabajo, creando una gestión judicial moderna, innovadora, eficiente, sostenible, segura y de calidad.</w:t>
      </w:r>
    </w:p>
    <w:p w14:paraId="68215851"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En lo referente al funcionamiento de este proyecto y los objetivos alcanzados, se adjunta el informe 897-PLA-OI-2020 de la Dirección de Planificación, de fecha 18 de junio de 2020, en el cual se recopila la información al respecto. </w:t>
      </w:r>
    </w:p>
    <w:p w14:paraId="624605AC"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Con la ejecución de este proyecto la mora judicial ha disminuido significativamente y se han logrado avances importantes en la mejora del sistema de administración de justicia penal, sobre todo con la implementación de cuotas de trabajo. </w:t>
      </w:r>
    </w:p>
    <w:p w14:paraId="3354870E"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Desde abril de 2020 fue asignado un gestor a la Comisión y en el mes de julio, por el volumen de trabajo originado en la emergencia nacional por la pandemia, se asignó un segundo gestor; funcionarios que han sido de gran valía y ayuda por cuanto han facilitado no sólo coordinar acciones con los tribunales penales y órganos auxiliares de justicia, sino confección de directrices en lo referente a la prestación de servicios en la materia penal en la atención de la emergencia ocasionada por la enfermedad del Covid-19. </w:t>
      </w:r>
    </w:p>
    <w:p w14:paraId="4CCDE952"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También se han sostenido varias sesiones de diálogo con el Ministerio de Justicia y Paz y con el Ministerio de Salud, para lograr las coordinaciones necesarias para mantener el servicio de administración de justicia penal en tiempos de crisis como la actual.</w:t>
      </w:r>
    </w:p>
    <w:p w14:paraId="127CC256" w14:textId="77777777" w:rsidR="00356493" w:rsidRDefault="00356493" w:rsidP="00356493">
      <w:pPr>
        <w:spacing w:line="360" w:lineRule="auto"/>
        <w:ind w:firstLine="708"/>
        <w:jc w:val="both"/>
        <w:rPr>
          <w:rFonts w:ascii="Arial" w:hAnsi="Arial" w:cs="Arial"/>
          <w:b/>
          <w:sz w:val="24"/>
          <w:szCs w:val="24"/>
        </w:rPr>
      </w:pPr>
    </w:p>
    <w:p w14:paraId="57382506" w14:textId="77777777" w:rsidR="00356493" w:rsidRPr="00BD648E" w:rsidRDefault="00356493" w:rsidP="00356493">
      <w:pPr>
        <w:spacing w:line="360" w:lineRule="auto"/>
        <w:ind w:firstLine="708"/>
        <w:jc w:val="both"/>
        <w:rPr>
          <w:rFonts w:ascii="Arial" w:hAnsi="Arial" w:cs="Arial"/>
          <w:b/>
          <w:sz w:val="24"/>
          <w:szCs w:val="24"/>
        </w:rPr>
      </w:pPr>
      <w:r w:rsidRPr="00BD648E">
        <w:rPr>
          <w:rFonts w:ascii="Arial" w:hAnsi="Arial" w:cs="Arial"/>
          <w:b/>
          <w:sz w:val="24"/>
          <w:szCs w:val="24"/>
        </w:rPr>
        <w:t>Integrantes de la Comisión</w:t>
      </w:r>
    </w:p>
    <w:p w14:paraId="1FF13178" w14:textId="77777777" w:rsidR="00356493" w:rsidRPr="00CD6F9B" w:rsidRDefault="00356493" w:rsidP="00356493">
      <w:pPr>
        <w:pStyle w:val="Textoindependiente"/>
        <w:rPr>
          <w:rFonts w:ascii="Book Antiqua" w:hAnsi="Book Antiqua" w:cs="Arial"/>
          <w:b/>
          <w:bCs/>
          <w:i/>
          <w:sz w:val="24"/>
          <w:szCs w:val="24"/>
        </w:rPr>
      </w:pPr>
    </w:p>
    <w:p w14:paraId="03039DB7"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La Comisión está integrada por personas representantes de diferentes oficinas institucionales:</w:t>
      </w:r>
    </w:p>
    <w:p w14:paraId="3CC63625" w14:textId="77777777" w:rsidR="00356493" w:rsidRPr="00BD648E" w:rsidRDefault="00356493" w:rsidP="00356493">
      <w:pPr>
        <w:spacing w:line="360" w:lineRule="auto"/>
        <w:jc w:val="both"/>
        <w:rPr>
          <w:rFonts w:ascii="Arial" w:hAnsi="Arial" w:cs="Arial"/>
          <w:sz w:val="24"/>
          <w:szCs w:val="24"/>
        </w:rPr>
      </w:pPr>
    </w:p>
    <w:tbl>
      <w:tblPr>
        <w:tblW w:w="0" w:type="auto"/>
        <w:tblCellMar>
          <w:left w:w="0" w:type="dxa"/>
          <w:right w:w="0" w:type="dxa"/>
        </w:tblCellMar>
        <w:tblLook w:val="04A0" w:firstRow="1" w:lastRow="0" w:firstColumn="1" w:lastColumn="0" w:noHBand="0" w:noVBand="1"/>
      </w:tblPr>
      <w:tblGrid>
        <w:gridCol w:w="4385"/>
        <w:gridCol w:w="4435"/>
      </w:tblGrid>
      <w:tr w:rsidR="00356493" w:rsidRPr="00BD648E" w14:paraId="5BE40C5E" w14:textId="77777777" w:rsidTr="00356493">
        <w:tc>
          <w:tcPr>
            <w:tcW w:w="4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17F9EB"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Mag. Patricia Solano Castro </w:t>
            </w:r>
          </w:p>
        </w:tc>
        <w:tc>
          <w:tcPr>
            <w:tcW w:w="4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DB7A00"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Magistrada Sala Casación Penal Presidenta.</w:t>
            </w:r>
          </w:p>
        </w:tc>
      </w:tr>
      <w:tr w:rsidR="00356493" w:rsidRPr="00BD648E" w14:paraId="3455F1EF"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B5F18"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Mag. Sandra E. Zúñiga Morales</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6D3C109B"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Magistrada Sala Casación Penal.</w:t>
            </w:r>
          </w:p>
        </w:tc>
      </w:tr>
      <w:tr w:rsidR="00356493" w:rsidRPr="00BD648E" w14:paraId="168A6F8B"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F3FC1"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Mag. Alicia Salas Torres </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0FADB877"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Magistrada suplente Sala Constitucional.</w:t>
            </w:r>
          </w:p>
        </w:tc>
      </w:tr>
      <w:tr w:rsidR="00356493" w:rsidRPr="00BD648E" w14:paraId="20A38F49"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5F7D1" w14:textId="77777777" w:rsidR="00356493" w:rsidRPr="00BD648E" w:rsidRDefault="00356493" w:rsidP="00356493">
            <w:pPr>
              <w:spacing w:line="360" w:lineRule="auto"/>
              <w:jc w:val="both"/>
              <w:rPr>
                <w:rFonts w:ascii="Arial" w:hAnsi="Arial" w:cs="Arial"/>
                <w:sz w:val="24"/>
                <w:szCs w:val="24"/>
              </w:rPr>
            </w:pPr>
            <w:r>
              <w:rPr>
                <w:rFonts w:ascii="Arial" w:hAnsi="Arial" w:cs="Arial"/>
                <w:sz w:val="24"/>
                <w:szCs w:val="24"/>
              </w:rPr>
              <w:t>Mayra Campos Zúñiga</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2C610257" w14:textId="77777777" w:rsidR="00356493" w:rsidRPr="00BD648E" w:rsidRDefault="00356493" w:rsidP="00356493">
            <w:pPr>
              <w:spacing w:line="360" w:lineRule="auto"/>
              <w:jc w:val="both"/>
              <w:rPr>
                <w:rFonts w:ascii="Arial" w:hAnsi="Arial" w:cs="Arial"/>
                <w:sz w:val="24"/>
                <w:szCs w:val="24"/>
              </w:rPr>
            </w:pPr>
            <w:r>
              <w:rPr>
                <w:rFonts w:ascii="Arial" w:hAnsi="Arial" w:cs="Arial"/>
                <w:sz w:val="24"/>
                <w:szCs w:val="24"/>
              </w:rPr>
              <w:t>Ministerio Público</w:t>
            </w:r>
            <w:r w:rsidRPr="00BD648E">
              <w:rPr>
                <w:rFonts w:ascii="Arial" w:hAnsi="Arial" w:cs="Arial"/>
                <w:sz w:val="24"/>
                <w:szCs w:val="24"/>
              </w:rPr>
              <w:t>.</w:t>
            </w:r>
          </w:p>
        </w:tc>
      </w:tr>
      <w:tr w:rsidR="00356493" w:rsidRPr="00BD648E" w14:paraId="79FF2880"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BCA887"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Juan Carlos Pérez Murillo</w:t>
            </w:r>
          </w:p>
        </w:tc>
        <w:tc>
          <w:tcPr>
            <w:tcW w:w="4435" w:type="dxa"/>
            <w:tcBorders>
              <w:top w:val="nil"/>
              <w:left w:val="nil"/>
              <w:bottom w:val="single" w:sz="8" w:space="0" w:color="auto"/>
              <w:right w:val="single" w:sz="8" w:space="0" w:color="auto"/>
            </w:tcBorders>
            <w:tcMar>
              <w:top w:w="0" w:type="dxa"/>
              <w:left w:w="108" w:type="dxa"/>
              <w:bottom w:w="0" w:type="dxa"/>
              <w:right w:w="108" w:type="dxa"/>
            </w:tcMar>
          </w:tcPr>
          <w:p w14:paraId="099A280D"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Director General de la Defensa Pública.</w:t>
            </w:r>
          </w:p>
        </w:tc>
      </w:tr>
      <w:tr w:rsidR="00356493" w:rsidRPr="00BD648E" w14:paraId="11A7EAEE"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C1B607"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Walter Espinoza </w:t>
            </w:r>
            <w:proofErr w:type="spellStart"/>
            <w:r w:rsidRPr="00BD648E">
              <w:rPr>
                <w:rFonts w:ascii="Arial" w:hAnsi="Arial" w:cs="Arial"/>
                <w:sz w:val="24"/>
                <w:szCs w:val="24"/>
              </w:rPr>
              <w:t>Espinoza</w:t>
            </w:r>
            <w:proofErr w:type="spellEnd"/>
          </w:p>
        </w:tc>
        <w:tc>
          <w:tcPr>
            <w:tcW w:w="4435" w:type="dxa"/>
            <w:tcBorders>
              <w:top w:val="nil"/>
              <w:left w:val="nil"/>
              <w:bottom w:val="single" w:sz="8" w:space="0" w:color="auto"/>
              <w:right w:val="single" w:sz="8" w:space="0" w:color="auto"/>
            </w:tcBorders>
            <w:tcMar>
              <w:top w:w="0" w:type="dxa"/>
              <w:left w:w="108" w:type="dxa"/>
              <w:bottom w:w="0" w:type="dxa"/>
              <w:right w:w="108" w:type="dxa"/>
            </w:tcMar>
          </w:tcPr>
          <w:p w14:paraId="3E710A60"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Director General del Organismo de Investigación Judicial.</w:t>
            </w:r>
          </w:p>
        </w:tc>
      </w:tr>
      <w:tr w:rsidR="00356493" w:rsidRPr="00BD648E" w14:paraId="12DF9E3A"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C6F12"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Lic. Ronald </w:t>
            </w:r>
            <w:proofErr w:type="spellStart"/>
            <w:r w:rsidRPr="00BD648E">
              <w:rPr>
                <w:rFonts w:ascii="Arial" w:hAnsi="Arial" w:cs="Arial"/>
                <w:sz w:val="24"/>
                <w:szCs w:val="24"/>
              </w:rPr>
              <w:t>Gdo</w:t>
            </w:r>
            <w:proofErr w:type="spellEnd"/>
            <w:r w:rsidRPr="00BD648E">
              <w:rPr>
                <w:rFonts w:ascii="Arial" w:hAnsi="Arial" w:cs="Arial"/>
                <w:sz w:val="24"/>
                <w:szCs w:val="24"/>
              </w:rPr>
              <w:t>. Nicolás Alvarado</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166DF1BD"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Representación de los jueces y juezas penales.</w:t>
            </w:r>
          </w:p>
        </w:tc>
      </w:tr>
      <w:tr w:rsidR="00356493" w:rsidRPr="00BD648E" w14:paraId="3175D14B"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5E440"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Lic. Danilo Enrique Segura Mata </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6DD2222C"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Representación de la jurisdicción penal juvenil.</w:t>
            </w:r>
          </w:p>
        </w:tc>
      </w:tr>
      <w:tr w:rsidR="00356493" w:rsidRPr="00BD648E" w14:paraId="2862ED86"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B05E3"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Licda. Cinthya </w:t>
            </w:r>
            <w:proofErr w:type="spellStart"/>
            <w:r w:rsidRPr="00BD648E">
              <w:rPr>
                <w:rFonts w:ascii="Arial" w:hAnsi="Arial" w:cs="Arial"/>
                <w:sz w:val="24"/>
                <w:szCs w:val="24"/>
              </w:rPr>
              <w:t>Saenz</w:t>
            </w:r>
            <w:proofErr w:type="spellEnd"/>
            <w:r w:rsidRPr="00BD648E">
              <w:rPr>
                <w:rFonts w:ascii="Arial" w:hAnsi="Arial" w:cs="Arial"/>
                <w:sz w:val="24"/>
                <w:szCs w:val="24"/>
              </w:rPr>
              <w:t xml:space="preserve"> Valerio </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464D8E8F"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Representación de la jurisdicción contravencional.</w:t>
            </w:r>
          </w:p>
        </w:tc>
      </w:tr>
      <w:tr w:rsidR="00356493" w:rsidRPr="00BD648E" w14:paraId="57792B33"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3F04E5" w14:textId="77777777" w:rsidR="00356493" w:rsidRPr="00BD648E" w:rsidRDefault="00356493" w:rsidP="00356493">
            <w:pPr>
              <w:spacing w:line="360" w:lineRule="auto"/>
              <w:jc w:val="both"/>
              <w:rPr>
                <w:rFonts w:ascii="Arial" w:hAnsi="Arial" w:cs="Arial"/>
                <w:sz w:val="24"/>
                <w:szCs w:val="24"/>
              </w:rPr>
            </w:pPr>
            <w:proofErr w:type="spellStart"/>
            <w:r w:rsidRPr="00BD648E">
              <w:rPr>
                <w:rFonts w:ascii="Arial" w:hAnsi="Arial" w:cs="Arial"/>
                <w:sz w:val="24"/>
                <w:szCs w:val="24"/>
              </w:rPr>
              <w:t>Odilie</w:t>
            </w:r>
            <w:proofErr w:type="spellEnd"/>
            <w:r w:rsidRPr="00BD648E">
              <w:rPr>
                <w:rFonts w:ascii="Arial" w:hAnsi="Arial" w:cs="Arial"/>
                <w:sz w:val="24"/>
                <w:szCs w:val="24"/>
              </w:rPr>
              <w:t xml:space="preserve"> Robles Escobar</w:t>
            </w:r>
          </w:p>
        </w:tc>
        <w:tc>
          <w:tcPr>
            <w:tcW w:w="4435" w:type="dxa"/>
            <w:tcBorders>
              <w:top w:val="nil"/>
              <w:left w:val="nil"/>
              <w:bottom w:val="single" w:sz="8" w:space="0" w:color="auto"/>
              <w:right w:val="single" w:sz="8" w:space="0" w:color="auto"/>
            </w:tcBorders>
            <w:tcMar>
              <w:top w:w="0" w:type="dxa"/>
              <w:left w:w="108" w:type="dxa"/>
              <w:bottom w:w="0" w:type="dxa"/>
              <w:right w:w="108" w:type="dxa"/>
            </w:tcMar>
          </w:tcPr>
          <w:p w14:paraId="6AABAF83"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Representación de los Jueces y Juezas de Ejecución de la Pena.</w:t>
            </w:r>
          </w:p>
        </w:tc>
      </w:tr>
      <w:tr w:rsidR="00356493" w:rsidRPr="00BD648E" w14:paraId="1DF2C19D" w14:textId="77777777" w:rsidTr="00356493">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B31F8"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 xml:space="preserve">Lic. Gary Amador Badilla </w:t>
            </w:r>
          </w:p>
        </w:tc>
        <w:tc>
          <w:tcPr>
            <w:tcW w:w="4435" w:type="dxa"/>
            <w:tcBorders>
              <w:top w:val="nil"/>
              <w:left w:val="nil"/>
              <w:bottom w:val="single" w:sz="8" w:space="0" w:color="auto"/>
              <w:right w:val="single" w:sz="8" w:space="0" w:color="auto"/>
            </w:tcBorders>
            <w:tcMar>
              <w:top w:w="0" w:type="dxa"/>
              <w:left w:w="108" w:type="dxa"/>
              <w:bottom w:w="0" w:type="dxa"/>
              <w:right w:w="108" w:type="dxa"/>
            </w:tcMar>
            <w:hideMark/>
          </w:tcPr>
          <w:p w14:paraId="3738ED42"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Integrante del Consejo Superior</w:t>
            </w:r>
          </w:p>
        </w:tc>
      </w:tr>
    </w:tbl>
    <w:p w14:paraId="04FA6633" w14:textId="77777777" w:rsidR="00356493" w:rsidRPr="00CD6F9B" w:rsidRDefault="00356493" w:rsidP="00356493">
      <w:pPr>
        <w:autoSpaceDE w:val="0"/>
        <w:autoSpaceDN w:val="0"/>
        <w:spacing w:before="100"/>
        <w:ind w:left="360"/>
        <w:jc w:val="both"/>
        <w:rPr>
          <w:rFonts w:ascii="Book Antiqua" w:hAnsi="Book Antiqua" w:cs="Arial"/>
          <w:b/>
          <w:bCs/>
          <w:szCs w:val="24"/>
        </w:rPr>
      </w:pPr>
    </w:p>
    <w:p w14:paraId="152F74EB" w14:textId="45ED19B4" w:rsidR="00356493" w:rsidRDefault="00356493">
      <w:pPr>
        <w:spacing w:after="0" w:line="240" w:lineRule="auto"/>
        <w:rPr>
          <w:lang w:val="es-ES" w:eastAsia="es-ES"/>
        </w:rPr>
      </w:pPr>
      <w:r>
        <w:rPr>
          <w:lang w:val="es-ES" w:eastAsia="es-ES"/>
        </w:rPr>
        <w:br w:type="page"/>
      </w:r>
    </w:p>
    <w:p w14:paraId="3800ECE6" w14:textId="77777777" w:rsidR="00356493" w:rsidRPr="003668CB" w:rsidRDefault="00356493" w:rsidP="003668CB">
      <w:pPr>
        <w:spacing w:line="360" w:lineRule="auto"/>
        <w:ind w:firstLine="708"/>
        <w:jc w:val="center"/>
        <w:rPr>
          <w:rFonts w:ascii="Arial" w:hAnsi="Arial" w:cs="Arial"/>
          <w:b/>
          <w:sz w:val="32"/>
          <w:szCs w:val="32"/>
        </w:rPr>
      </w:pPr>
      <w:r w:rsidRPr="003668CB">
        <w:rPr>
          <w:rFonts w:ascii="Arial" w:hAnsi="Arial" w:cs="Arial"/>
          <w:b/>
          <w:sz w:val="32"/>
          <w:szCs w:val="32"/>
        </w:rPr>
        <w:t>Estado General de las Consultas de la Comisión.</w:t>
      </w:r>
    </w:p>
    <w:p w14:paraId="168CF9D7" w14:textId="77777777" w:rsidR="00356493" w:rsidRPr="00BD648E" w:rsidRDefault="00356493" w:rsidP="00356493">
      <w:pPr>
        <w:spacing w:line="360" w:lineRule="auto"/>
        <w:jc w:val="both"/>
        <w:rPr>
          <w:rFonts w:ascii="Arial" w:hAnsi="Arial" w:cs="Arial"/>
          <w:sz w:val="24"/>
          <w:szCs w:val="24"/>
        </w:rPr>
      </w:pPr>
      <w:r w:rsidRPr="00BD648E">
        <w:rPr>
          <w:rFonts w:ascii="Arial" w:hAnsi="Arial" w:cs="Arial"/>
          <w:sz w:val="24"/>
          <w:szCs w:val="24"/>
        </w:rPr>
        <w:t>Gráfico general de la atención de las consultas</w:t>
      </w:r>
      <w:r>
        <w:rPr>
          <w:rFonts w:ascii="Arial" w:hAnsi="Arial" w:cs="Arial"/>
          <w:sz w:val="24"/>
          <w:szCs w:val="24"/>
        </w:rPr>
        <w:t xml:space="preserve"> para el año 2020.</w:t>
      </w:r>
    </w:p>
    <w:p w14:paraId="43D31E68" w14:textId="77777777" w:rsidR="00356493" w:rsidRDefault="00356493" w:rsidP="00356493">
      <w:pPr>
        <w:jc w:val="center"/>
        <w:rPr>
          <w:lang w:val="es-ES" w:eastAsia="es-ES"/>
        </w:rPr>
      </w:pPr>
    </w:p>
    <w:p w14:paraId="39596F1E" w14:textId="5EB0E878" w:rsidR="00356493" w:rsidRDefault="00356493" w:rsidP="00356493">
      <w:pPr>
        <w:jc w:val="center"/>
        <w:rPr>
          <w:lang w:val="es-ES" w:eastAsia="es-ES"/>
        </w:rPr>
      </w:pPr>
      <w:r w:rsidRPr="00356493">
        <w:rPr>
          <w:noProof/>
        </w:rPr>
        <w:drawing>
          <wp:inline distT="0" distB="0" distL="0" distR="0" wp14:anchorId="6D9ADFA8" wp14:editId="695626E5">
            <wp:extent cx="5722620" cy="4998720"/>
            <wp:effectExtent l="0" t="0" r="11430" b="11430"/>
            <wp:docPr id="70" name="Gráfico 70">
              <a:extLst xmlns:a="http://schemas.openxmlformats.org/drawingml/2006/main">
                <a:ext uri="{FF2B5EF4-FFF2-40B4-BE49-F238E27FC236}">
                  <a16:creationId xmlns:a16="http://schemas.microsoft.com/office/drawing/2014/main" id="{00DCD9F3-2F54-48D0-B27C-8458B0137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DC45C76" w14:textId="77777777" w:rsidR="00356493" w:rsidRDefault="00356493">
      <w:pPr>
        <w:spacing w:after="0" w:line="240" w:lineRule="auto"/>
        <w:rPr>
          <w:rFonts w:ascii="Arial" w:eastAsia="Times New Roman" w:hAnsi="Arial" w:cs="Arial"/>
          <w:b/>
          <w:bCs/>
          <w:kern w:val="32"/>
          <w:sz w:val="32"/>
          <w:szCs w:val="32"/>
          <w:lang w:val="es-ES" w:eastAsia="es-ES"/>
        </w:rPr>
      </w:pPr>
      <w:r>
        <w:rPr>
          <w:lang w:val="es-ES"/>
        </w:rPr>
        <w:br w:type="page"/>
      </w:r>
    </w:p>
    <w:p w14:paraId="42ABFF51" w14:textId="77777777" w:rsidR="00356493" w:rsidRPr="00BB53C0" w:rsidRDefault="00356493" w:rsidP="003668CB">
      <w:pPr>
        <w:pStyle w:val="Ttulo1"/>
        <w:numPr>
          <w:ilvl w:val="0"/>
          <w:numId w:val="0"/>
        </w:numPr>
        <w:shd w:val="clear" w:color="auto" w:fill="auto"/>
        <w:rPr>
          <w:lang w:val="es-ES"/>
        </w:rPr>
      </w:pPr>
      <w:r>
        <w:rPr>
          <w:lang w:val="es-ES"/>
        </w:rPr>
        <w:t>C</w:t>
      </w:r>
      <w:r w:rsidRPr="00BB53C0">
        <w:rPr>
          <w:lang w:val="es-ES"/>
        </w:rPr>
        <w:t xml:space="preserve">onsultas </w:t>
      </w:r>
      <w:r>
        <w:rPr>
          <w:lang w:val="es-ES"/>
        </w:rPr>
        <w:t>recibidas</w:t>
      </w:r>
      <w:r w:rsidRPr="00BB53C0">
        <w:rPr>
          <w:lang w:val="es-ES"/>
        </w:rPr>
        <w:t xml:space="preserve"> por la Comisión de la Jurisdicción Penal.</w:t>
      </w:r>
    </w:p>
    <w:p w14:paraId="5B6EAA27" w14:textId="77777777" w:rsidR="00356493" w:rsidRDefault="00356493" w:rsidP="00356493">
      <w:pPr>
        <w:pStyle w:val="Ttulo2"/>
        <w:numPr>
          <w:ilvl w:val="0"/>
          <w:numId w:val="0"/>
        </w:numPr>
        <w:spacing w:line="360" w:lineRule="auto"/>
        <w:ind w:left="576"/>
        <w:rPr>
          <w:rFonts w:cs="Arial"/>
          <w:b w:val="0"/>
          <w:bCs w:val="0"/>
          <w:sz w:val="24"/>
          <w:szCs w:val="24"/>
          <w:lang w:val="es-ES"/>
        </w:rPr>
      </w:pPr>
    </w:p>
    <w:p w14:paraId="3F82914E" w14:textId="77777777" w:rsidR="00356493" w:rsidRPr="00BB53C0" w:rsidRDefault="00356493" w:rsidP="00356493">
      <w:pPr>
        <w:jc w:val="both"/>
        <w:rPr>
          <w:rFonts w:ascii="Arial" w:hAnsi="Arial" w:cs="Arial"/>
          <w:lang w:val="es-ES"/>
        </w:rPr>
      </w:pPr>
      <w:r w:rsidRPr="00BB53C0">
        <w:rPr>
          <w:rFonts w:ascii="Arial" w:hAnsi="Arial" w:cs="Arial"/>
          <w:lang w:val="es-ES"/>
        </w:rPr>
        <w:t>Durante el año 2020, la comisión recibió un total de 279 consultas, las cuales se detallan a continuación: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0"/>
        <w:gridCol w:w="8114"/>
      </w:tblGrid>
      <w:tr w:rsidR="00356493" w:rsidRPr="00BB53C0" w14:paraId="3D8F8EEC" w14:textId="77777777" w:rsidTr="00356493">
        <w:trPr>
          <w:trHeight w:val="510"/>
        </w:trPr>
        <w:tc>
          <w:tcPr>
            <w:tcW w:w="1520" w:type="dxa"/>
            <w:shd w:val="clear" w:color="auto" w:fill="4F81BD" w:themeFill="accent1"/>
            <w:vAlign w:val="center"/>
            <w:hideMark/>
          </w:tcPr>
          <w:p w14:paraId="0F0D2FD6" w14:textId="77777777" w:rsidR="00356493" w:rsidRPr="00BB53C0" w:rsidRDefault="00356493" w:rsidP="00356493">
            <w:pPr>
              <w:spacing w:after="0" w:line="240" w:lineRule="auto"/>
              <w:jc w:val="center"/>
              <w:rPr>
                <w:rFonts w:ascii="Arial" w:eastAsia="Times New Roman" w:hAnsi="Arial" w:cs="Arial"/>
                <w:b/>
                <w:bCs/>
                <w:color w:val="FFFFFF"/>
                <w:sz w:val="20"/>
                <w:szCs w:val="20"/>
                <w:lang w:eastAsia="es-CR"/>
              </w:rPr>
            </w:pPr>
            <w:r w:rsidRPr="00BB53C0">
              <w:rPr>
                <w:rFonts w:ascii="Arial" w:eastAsia="Times New Roman" w:hAnsi="Arial" w:cs="Arial"/>
                <w:b/>
                <w:bCs/>
                <w:color w:val="FFFFFF"/>
                <w:sz w:val="20"/>
                <w:szCs w:val="20"/>
                <w:lang w:eastAsia="es-CR"/>
              </w:rPr>
              <w:t>Consulta</w:t>
            </w:r>
          </w:p>
        </w:tc>
        <w:tc>
          <w:tcPr>
            <w:tcW w:w="8114" w:type="dxa"/>
            <w:shd w:val="clear" w:color="auto" w:fill="4F81BD" w:themeFill="accent1"/>
            <w:vAlign w:val="center"/>
            <w:hideMark/>
          </w:tcPr>
          <w:p w14:paraId="07F0D7B2" w14:textId="77777777" w:rsidR="00356493" w:rsidRPr="00BB53C0" w:rsidRDefault="00356493" w:rsidP="00356493">
            <w:pPr>
              <w:spacing w:after="0" w:line="240" w:lineRule="auto"/>
              <w:jc w:val="center"/>
              <w:rPr>
                <w:rFonts w:ascii="Arial" w:eastAsia="Times New Roman" w:hAnsi="Arial" w:cs="Arial"/>
                <w:b/>
                <w:bCs/>
                <w:color w:val="FFFFFF"/>
                <w:sz w:val="20"/>
                <w:szCs w:val="20"/>
                <w:lang w:eastAsia="es-CR"/>
              </w:rPr>
            </w:pPr>
            <w:r w:rsidRPr="00BB53C0">
              <w:rPr>
                <w:rFonts w:ascii="Arial" w:eastAsia="Times New Roman" w:hAnsi="Arial" w:cs="Arial"/>
                <w:b/>
                <w:bCs/>
                <w:color w:val="FFFFFF"/>
                <w:sz w:val="20"/>
                <w:szCs w:val="20"/>
                <w:lang w:eastAsia="es-CR"/>
              </w:rPr>
              <w:t>Tema</w:t>
            </w:r>
          </w:p>
        </w:tc>
      </w:tr>
      <w:tr w:rsidR="00356493" w:rsidRPr="00BB53C0" w14:paraId="378D78D6" w14:textId="77777777" w:rsidTr="00356493">
        <w:trPr>
          <w:trHeight w:val="1860"/>
        </w:trPr>
        <w:tc>
          <w:tcPr>
            <w:tcW w:w="1520" w:type="dxa"/>
            <w:shd w:val="clear" w:color="auto" w:fill="auto"/>
            <w:vAlign w:val="center"/>
            <w:hideMark/>
          </w:tcPr>
          <w:p w14:paraId="476AC39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001-2020</w:t>
            </w:r>
          </w:p>
        </w:tc>
        <w:tc>
          <w:tcPr>
            <w:tcW w:w="8114" w:type="dxa"/>
            <w:shd w:val="clear" w:color="auto" w:fill="auto"/>
            <w:hideMark/>
          </w:tcPr>
          <w:p w14:paraId="65DF034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13193-19 del Consejo Superior, al respecto de lo acordado en sesión 107-19 del 10 de diciembre del 2019, artículo XLIX, sobre el plazo de los asuntos sometidos en conocimiento de la Comisión de la Jurisdicción Penal. </w:t>
            </w:r>
          </w:p>
        </w:tc>
      </w:tr>
      <w:tr w:rsidR="00356493" w:rsidRPr="00BB53C0" w14:paraId="59FD7789" w14:textId="77777777" w:rsidTr="00356493">
        <w:trPr>
          <w:trHeight w:val="1230"/>
        </w:trPr>
        <w:tc>
          <w:tcPr>
            <w:tcW w:w="1520" w:type="dxa"/>
            <w:shd w:val="clear" w:color="auto" w:fill="auto"/>
            <w:vAlign w:val="center"/>
            <w:hideMark/>
          </w:tcPr>
          <w:p w14:paraId="49616C8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002-2020</w:t>
            </w:r>
          </w:p>
        </w:tc>
        <w:tc>
          <w:tcPr>
            <w:tcW w:w="8114" w:type="dxa"/>
            <w:shd w:val="clear" w:color="auto" w:fill="auto"/>
            <w:hideMark/>
          </w:tcPr>
          <w:p w14:paraId="398C64A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2174-PLA-ES-2019 de la Dirección de Planificación, remitiendo informe relacionado con los movimientos de trabajo en el Juzgado de Ejecución de las Sanciones Penales Juveniles durante el 2018 y el último quinquenio. </w:t>
            </w:r>
          </w:p>
        </w:tc>
      </w:tr>
      <w:tr w:rsidR="00356493" w:rsidRPr="00BB53C0" w14:paraId="1281B2D7" w14:textId="77777777" w:rsidTr="00356493">
        <w:trPr>
          <w:trHeight w:val="1860"/>
        </w:trPr>
        <w:tc>
          <w:tcPr>
            <w:tcW w:w="1520" w:type="dxa"/>
            <w:shd w:val="clear" w:color="auto" w:fill="auto"/>
            <w:vAlign w:val="center"/>
            <w:hideMark/>
          </w:tcPr>
          <w:p w14:paraId="6BDFB70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003-2020</w:t>
            </w:r>
          </w:p>
        </w:tc>
        <w:tc>
          <w:tcPr>
            <w:tcW w:w="8114" w:type="dxa"/>
            <w:shd w:val="clear" w:color="auto" w:fill="auto"/>
            <w:hideMark/>
          </w:tcPr>
          <w:p w14:paraId="007E90B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2176-PLA-2019 de la Dirección de Planificación, copiando a la Comisión, oficio dirigido a la Dirección de la Defensa Pública, al respecto del informe 749-PLA-2019, sobre el estudio de rediseño realizado a la Defensa Pública de turno extraordinario y Flagrancia del Primer y Segundo Circuito Judicial de San José. </w:t>
            </w:r>
          </w:p>
        </w:tc>
      </w:tr>
      <w:tr w:rsidR="00356493" w:rsidRPr="00BB53C0" w14:paraId="5A724FC0" w14:textId="77777777" w:rsidTr="00356493">
        <w:trPr>
          <w:trHeight w:val="1860"/>
        </w:trPr>
        <w:tc>
          <w:tcPr>
            <w:tcW w:w="1520" w:type="dxa"/>
            <w:shd w:val="clear" w:color="auto" w:fill="auto"/>
            <w:vAlign w:val="center"/>
            <w:hideMark/>
          </w:tcPr>
          <w:p w14:paraId="14B6A21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004-2020</w:t>
            </w:r>
          </w:p>
        </w:tc>
        <w:tc>
          <w:tcPr>
            <w:tcW w:w="8114" w:type="dxa"/>
            <w:shd w:val="clear" w:color="auto" w:fill="auto"/>
            <w:hideMark/>
          </w:tcPr>
          <w:p w14:paraId="3D755CB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13462-19 del Consejo Superior, comunicando acuerdo de sesión 106-19 del 05 de diciembre de 2019, artículo XXV, sobre lo atendido mediante el oficio CJP232-2019, al respecto de la negativa del O.I.J. al realizar ordenes de presentación en materia contravencional. </w:t>
            </w:r>
          </w:p>
        </w:tc>
      </w:tr>
      <w:tr w:rsidR="00356493" w:rsidRPr="00BB53C0" w14:paraId="1D876F98" w14:textId="77777777" w:rsidTr="00356493">
        <w:trPr>
          <w:trHeight w:val="1860"/>
        </w:trPr>
        <w:tc>
          <w:tcPr>
            <w:tcW w:w="1520" w:type="dxa"/>
            <w:shd w:val="clear" w:color="auto" w:fill="auto"/>
            <w:vAlign w:val="center"/>
            <w:hideMark/>
          </w:tcPr>
          <w:p w14:paraId="6E6A5F8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005-2020</w:t>
            </w:r>
          </w:p>
        </w:tc>
        <w:tc>
          <w:tcPr>
            <w:tcW w:w="8114" w:type="dxa"/>
            <w:shd w:val="clear" w:color="auto" w:fill="auto"/>
            <w:hideMark/>
          </w:tcPr>
          <w:p w14:paraId="01E0862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2204-PLA-OI-2019, de la Dirección de Planificación, al respecto del taller de presentación del modelo de tramitación de los Tribunales Penales</w:t>
            </w:r>
            <w:r>
              <w:rPr>
                <w:rFonts w:ascii="Arial" w:eastAsia="Times New Roman" w:hAnsi="Arial" w:cs="Arial"/>
                <w:sz w:val="20"/>
                <w:szCs w:val="20"/>
                <w:lang w:eastAsia="es-CR"/>
              </w:rPr>
              <w:t>.</w:t>
            </w:r>
          </w:p>
        </w:tc>
      </w:tr>
      <w:tr w:rsidR="00356493" w:rsidRPr="00BB53C0" w14:paraId="17ED4E1D" w14:textId="77777777" w:rsidTr="00356493">
        <w:trPr>
          <w:trHeight w:val="2040"/>
        </w:trPr>
        <w:tc>
          <w:tcPr>
            <w:tcW w:w="1520" w:type="dxa"/>
            <w:shd w:val="clear" w:color="auto" w:fill="auto"/>
            <w:vAlign w:val="center"/>
            <w:hideMark/>
          </w:tcPr>
          <w:p w14:paraId="6FD0E38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006-2020</w:t>
            </w:r>
          </w:p>
        </w:tc>
        <w:tc>
          <w:tcPr>
            <w:tcW w:w="8114" w:type="dxa"/>
            <w:shd w:val="clear" w:color="auto" w:fill="auto"/>
            <w:hideMark/>
          </w:tcPr>
          <w:p w14:paraId="3BB488B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006-P-2020 del Despacho de la Presidencia de la Corte, remitiendo gestión de parte de la Defensoría de los Habitantes, mediante la cual solicita el criterio de la Comisión al respecto de los casos donde la imputada este en periodo de lactancia y tenga que trasladarse a juicio</w:t>
            </w:r>
            <w:r>
              <w:rPr>
                <w:rFonts w:ascii="Arial" w:eastAsia="Times New Roman" w:hAnsi="Arial" w:cs="Arial"/>
                <w:sz w:val="20"/>
                <w:szCs w:val="20"/>
                <w:lang w:eastAsia="es-CR"/>
              </w:rPr>
              <w:t>.</w:t>
            </w:r>
          </w:p>
        </w:tc>
      </w:tr>
      <w:tr w:rsidR="00356493" w:rsidRPr="00BB53C0" w14:paraId="78D56ED9" w14:textId="77777777" w:rsidTr="00356493">
        <w:trPr>
          <w:trHeight w:val="1860"/>
        </w:trPr>
        <w:tc>
          <w:tcPr>
            <w:tcW w:w="1520" w:type="dxa"/>
            <w:shd w:val="clear" w:color="auto" w:fill="auto"/>
            <w:vAlign w:val="center"/>
            <w:hideMark/>
          </w:tcPr>
          <w:p w14:paraId="05DA778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007-2020</w:t>
            </w:r>
          </w:p>
        </w:tc>
        <w:tc>
          <w:tcPr>
            <w:tcW w:w="8114" w:type="dxa"/>
            <w:shd w:val="clear" w:color="auto" w:fill="auto"/>
            <w:hideMark/>
          </w:tcPr>
          <w:p w14:paraId="2927D9A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Nº 02-CLP-2020, de la Comisión de Monitoreo y Seguimiento de la Ley de Penalización de la Violencia contra la Mujer, solicitando a la Comisión de Asuntos Penales para que se emita directriz de manera que los Tribunales de Juicio agenden con prioridad estos procesos de Ley de Penalización y los delitos sexuales, después de “reo preso”</w:t>
            </w:r>
            <w:r>
              <w:rPr>
                <w:rFonts w:ascii="Arial" w:eastAsia="Times New Roman" w:hAnsi="Arial" w:cs="Arial"/>
                <w:sz w:val="20"/>
                <w:szCs w:val="20"/>
                <w:lang w:eastAsia="es-CR"/>
              </w:rPr>
              <w:t>.</w:t>
            </w:r>
          </w:p>
        </w:tc>
      </w:tr>
      <w:tr w:rsidR="00356493" w:rsidRPr="00BB53C0" w14:paraId="3434C7CD" w14:textId="77777777" w:rsidTr="00356493">
        <w:trPr>
          <w:trHeight w:val="1860"/>
        </w:trPr>
        <w:tc>
          <w:tcPr>
            <w:tcW w:w="1520" w:type="dxa"/>
            <w:shd w:val="clear" w:color="auto" w:fill="auto"/>
            <w:vAlign w:val="center"/>
            <w:hideMark/>
          </w:tcPr>
          <w:p w14:paraId="2F0A67D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008-2020</w:t>
            </w:r>
          </w:p>
        </w:tc>
        <w:tc>
          <w:tcPr>
            <w:tcW w:w="8114" w:type="dxa"/>
            <w:shd w:val="clear" w:color="auto" w:fill="auto"/>
            <w:hideMark/>
          </w:tcPr>
          <w:p w14:paraId="3D3EFB2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721-2020 del Consejo Superior, remitiendo acuerdo de sesión 110-19 del 19 de diciembre del 2019, artículo XXVII, relacionado con el oficio CJP231-2019 del criterio de la Comisión respecto al oficio CACC-01-2019</w:t>
            </w:r>
            <w:r>
              <w:rPr>
                <w:rFonts w:ascii="Arial" w:eastAsia="Times New Roman" w:hAnsi="Arial" w:cs="Arial"/>
                <w:sz w:val="20"/>
                <w:szCs w:val="20"/>
                <w:lang w:eastAsia="es-CR"/>
              </w:rPr>
              <w:t>.</w:t>
            </w:r>
          </w:p>
        </w:tc>
      </w:tr>
      <w:tr w:rsidR="00356493" w:rsidRPr="00BB53C0" w14:paraId="25E667A9" w14:textId="77777777" w:rsidTr="00356493">
        <w:trPr>
          <w:trHeight w:val="1860"/>
        </w:trPr>
        <w:tc>
          <w:tcPr>
            <w:tcW w:w="1520" w:type="dxa"/>
            <w:shd w:val="clear" w:color="auto" w:fill="auto"/>
            <w:vAlign w:val="center"/>
            <w:hideMark/>
          </w:tcPr>
          <w:p w14:paraId="67E1E0C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009-2020</w:t>
            </w:r>
          </w:p>
        </w:tc>
        <w:tc>
          <w:tcPr>
            <w:tcW w:w="8114" w:type="dxa"/>
            <w:shd w:val="clear" w:color="auto" w:fill="auto"/>
            <w:hideMark/>
          </w:tcPr>
          <w:p w14:paraId="5F7851C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888-2020, del Consejo Superior, remitiendo acuerdo de sesión 109-2019, del 17 de diciembre de 2019, artículo XXVIII, sobre situación de la Defensa Pública de Liberia, en cuanto a resolver situaciones atientes a la disponibilidad, solicitando criterio de la Comisión</w:t>
            </w:r>
            <w:r>
              <w:rPr>
                <w:rFonts w:ascii="Arial" w:eastAsia="Times New Roman" w:hAnsi="Arial" w:cs="Arial"/>
                <w:sz w:val="20"/>
                <w:szCs w:val="20"/>
                <w:lang w:eastAsia="es-CR"/>
              </w:rPr>
              <w:t>.</w:t>
            </w:r>
          </w:p>
        </w:tc>
      </w:tr>
      <w:tr w:rsidR="00356493" w:rsidRPr="00BB53C0" w14:paraId="26BC9DC4" w14:textId="77777777" w:rsidTr="00356493">
        <w:trPr>
          <w:trHeight w:val="1860"/>
        </w:trPr>
        <w:tc>
          <w:tcPr>
            <w:tcW w:w="1520" w:type="dxa"/>
            <w:shd w:val="clear" w:color="auto" w:fill="auto"/>
            <w:vAlign w:val="center"/>
            <w:hideMark/>
          </w:tcPr>
          <w:p w14:paraId="1323777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010-2020</w:t>
            </w:r>
          </w:p>
        </w:tc>
        <w:tc>
          <w:tcPr>
            <w:tcW w:w="8114" w:type="dxa"/>
            <w:shd w:val="clear" w:color="auto" w:fill="auto"/>
            <w:hideMark/>
          </w:tcPr>
          <w:p w14:paraId="52ABDFF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828-2020, del Consejo Superior, remitiendo acuerdo de sesión 05-2020, del 21 de enero del 2020, artículo LXXIV, al respecto del oficio de la Comisión CJP228-2019 y CJP001-2020, relacionado con los accesos y permisos otorgados a nivel del Ministerio Público, respecto las anotaciones en el Sistema de Registro Electrónico de Mandamientos</w:t>
            </w:r>
            <w:r>
              <w:rPr>
                <w:rFonts w:ascii="Arial" w:eastAsia="Times New Roman" w:hAnsi="Arial" w:cs="Arial"/>
                <w:sz w:val="20"/>
                <w:szCs w:val="20"/>
                <w:lang w:eastAsia="es-CR"/>
              </w:rPr>
              <w:t>.</w:t>
            </w:r>
          </w:p>
        </w:tc>
      </w:tr>
      <w:tr w:rsidR="00356493" w:rsidRPr="00BB53C0" w14:paraId="5753BE70" w14:textId="77777777" w:rsidTr="00356493">
        <w:trPr>
          <w:trHeight w:val="1860"/>
        </w:trPr>
        <w:tc>
          <w:tcPr>
            <w:tcW w:w="1520" w:type="dxa"/>
            <w:shd w:val="clear" w:color="auto" w:fill="auto"/>
            <w:vAlign w:val="center"/>
            <w:hideMark/>
          </w:tcPr>
          <w:p w14:paraId="2CFD2C2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011-2020</w:t>
            </w:r>
          </w:p>
        </w:tc>
        <w:tc>
          <w:tcPr>
            <w:tcW w:w="8114" w:type="dxa"/>
            <w:shd w:val="clear" w:color="auto" w:fill="auto"/>
            <w:hideMark/>
          </w:tcPr>
          <w:p w14:paraId="0794176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794-2020, del Consejo Superior, remitiendo acuerdo de sesión 110-19 del 19 de diciembre del 2019, artículo LIII, donde se acordó tomar nota de lo comunicado mediante oficio CGTI-27-2019, de la Comisión Gerencial de Tecnología, relacionado con el tema de acceso a los expedientes judiciales por parte de los abogados particulares que no forman parte del proceso, atendido por la comisión mediante oficio CJP046-2019</w:t>
            </w:r>
            <w:r>
              <w:rPr>
                <w:rFonts w:ascii="Arial" w:eastAsia="Times New Roman" w:hAnsi="Arial" w:cs="Arial"/>
                <w:sz w:val="20"/>
                <w:szCs w:val="20"/>
                <w:lang w:eastAsia="es-CR"/>
              </w:rPr>
              <w:t>.</w:t>
            </w:r>
          </w:p>
        </w:tc>
      </w:tr>
      <w:tr w:rsidR="00356493" w:rsidRPr="00BB53C0" w14:paraId="1A27DC83" w14:textId="77777777" w:rsidTr="00356493">
        <w:trPr>
          <w:trHeight w:val="1860"/>
        </w:trPr>
        <w:tc>
          <w:tcPr>
            <w:tcW w:w="1520" w:type="dxa"/>
            <w:shd w:val="clear" w:color="auto" w:fill="auto"/>
            <w:vAlign w:val="center"/>
            <w:hideMark/>
          </w:tcPr>
          <w:p w14:paraId="42BDA29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012-2020</w:t>
            </w:r>
          </w:p>
        </w:tc>
        <w:tc>
          <w:tcPr>
            <w:tcW w:w="8114" w:type="dxa"/>
            <w:shd w:val="clear" w:color="auto" w:fill="auto"/>
            <w:hideMark/>
          </w:tcPr>
          <w:p w14:paraId="0013FEF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152-PLA-MI-OI-2020, de la Dirección de Planificación, remitiendo informe relacionado con la modificación del cronograma del Proyecto para el Desarrollo e Implementación del Modelo Estándar Integral del Proceso Penal</w:t>
            </w:r>
            <w:r>
              <w:rPr>
                <w:rFonts w:ascii="Arial" w:eastAsia="Times New Roman" w:hAnsi="Arial" w:cs="Arial"/>
                <w:sz w:val="20"/>
                <w:szCs w:val="20"/>
                <w:lang w:eastAsia="es-CR"/>
              </w:rPr>
              <w:t>.</w:t>
            </w:r>
          </w:p>
        </w:tc>
      </w:tr>
      <w:tr w:rsidR="00356493" w:rsidRPr="00BB53C0" w14:paraId="6BF358CE" w14:textId="77777777" w:rsidTr="00356493">
        <w:trPr>
          <w:trHeight w:val="1860"/>
        </w:trPr>
        <w:tc>
          <w:tcPr>
            <w:tcW w:w="1520" w:type="dxa"/>
            <w:shd w:val="clear" w:color="auto" w:fill="auto"/>
            <w:vAlign w:val="center"/>
            <w:hideMark/>
          </w:tcPr>
          <w:p w14:paraId="06433E3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013-2020</w:t>
            </w:r>
          </w:p>
        </w:tc>
        <w:tc>
          <w:tcPr>
            <w:tcW w:w="8114" w:type="dxa"/>
            <w:shd w:val="clear" w:color="auto" w:fill="auto"/>
            <w:hideMark/>
          </w:tcPr>
          <w:p w14:paraId="5CB6CD6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fecha 05-02-2020, del señor Carlos Alfonso Mora </w:t>
            </w:r>
            <w:proofErr w:type="spellStart"/>
            <w:r w:rsidRPr="00BB53C0">
              <w:rPr>
                <w:rFonts w:ascii="Arial" w:eastAsia="Times New Roman" w:hAnsi="Arial" w:cs="Arial"/>
                <w:sz w:val="20"/>
                <w:szCs w:val="20"/>
                <w:lang w:eastAsia="es-CR"/>
              </w:rPr>
              <w:t>Mora</w:t>
            </w:r>
            <w:proofErr w:type="spellEnd"/>
            <w:r w:rsidRPr="00BB53C0">
              <w:rPr>
                <w:rFonts w:ascii="Arial" w:eastAsia="Times New Roman" w:hAnsi="Arial" w:cs="Arial"/>
                <w:sz w:val="20"/>
                <w:szCs w:val="20"/>
                <w:lang w:eastAsia="es-CR"/>
              </w:rPr>
              <w:t>, del Juzgado Contravencional de Pavas, en atención a la circular 003-2003, gestión 1483-2018, sobre el nombramiento de un defensor público en causa por lesiones levísimas, se copia a la comisión</w:t>
            </w:r>
            <w:r>
              <w:rPr>
                <w:rFonts w:ascii="Arial" w:eastAsia="Times New Roman" w:hAnsi="Arial" w:cs="Arial"/>
                <w:sz w:val="20"/>
                <w:szCs w:val="20"/>
                <w:lang w:eastAsia="es-CR"/>
              </w:rPr>
              <w:t>.</w:t>
            </w:r>
          </w:p>
        </w:tc>
      </w:tr>
      <w:tr w:rsidR="00356493" w:rsidRPr="00BB53C0" w14:paraId="353D37A4" w14:textId="77777777" w:rsidTr="00356493">
        <w:trPr>
          <w:trHeight w:val="2025"/>
        </w:trPr>
        <w:tc>
          <w:tcPr>
            <w:tcW w:w="1520" w:type="dxa"/>
            <w:shd w:val="clear" w:color="auto" w:fill="auto"/>
            <w:vAlign w:val="center"/>
            <w:hideMark/>
          </w:tcPr>
          <w:p w14:paraId="71A2C3C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014-2020</w:t>
            </w:r>
          </w:p>
        </w:tc>
        <w:tc>
          <w:tcPr>
            <w:tcW w:w="8114" w:type="dxa"/>
            <w:shd w:val="clear" w:color="auto" w:fill="auto"/>
            <w:hideMark/>
          </w:tcPr>
          <w:p w14:paraId="0C3DADB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180-PLA-ES-2020 de la Dirección de Planificación, en atención a la incidencia de mejora planteada por Marcela Chacón </w:t>
            </w:r>
            <w:proofErr w:type="spellStart"/>
            <w:r w:rsidRPr="00BB53C0">
              <w:rPr>
                <w:rFonts w:ascii="Arial" w:eastAsia="Times New Roman" w:hAnsi="Arial" w:cs="Arial"/>
                <w:sz w:val="20"/>
                <w:szCs w:val="20"/>
                <w:lang w:eastAsia="es-CR"/>
              </w:rPr>
              <w:t>Chacón</w:t>
            </w:r>
            <w:proofErr w:type="spellEnd"/>
            <w:r w:rsidRPr="00BB53C0">
              <w:rPr>
                <w:rFonts w:ascii="Arial" w:eastAsia="Times New Roman" w:hAnsi="Arial" w:cs="Arial"/>
                <w:sz w:val="20"/>
                <w:szCs w:val="20"/>
                <w:lang w:eastAsia="es-CR"/>
              </w:rPr>
              <w:t xml:space="preserve"> del Tribunal Penal del Primer Circuito Judicial de San José, donde solicita a la Dirección de Tecnología de Información y al Subproceso de Estadística realizar un cambio en el informe mensual estadístico que se genera desde la plataforma sigma, denominado “Informe mensual Tribunal Penal y Flagrancia EJ-08_10_11”; a fin de no mostrar aquellos intervinientes que se registran en el sistema informático como “Imputado Inhábil”</w:t>
            </w:r>
            <w:r>
              <w:rPr>
                <w:rFonts w:ascii="Arial" w:eastAsia="Times New Roman" w:hAnsi="Arial" w:cs="Arial"/>
                <w:sz w:val="20"/>
                <w:szCs w:val="20"/>
                <w:lang w:eastAsia="es-CR"/>
              </w:rPr>
              <w:t>.</w:t>
            </w:r>
          </w:p>
        </w:tc>
      </w:tr>
      <w:tr w:rsidR="00356493" w:rsidRPr="00BB53C0" w14:paraId="3BB93540" w14:textId="77777777" w:rsidTr="00356493">
        <w:trPr>
          <w:trHeight w:val="1860"/>
        </w:trPr>
        <w:tc>
          <w:tcPr>
            <w:tcW w:w="1520" w:type="dxa"/>
            <w:shd w:val="clear" w:color="auto" w:fill="auto"/>
            <w:vAlign w:val="center"/>
            <w:hideMark/>
          </w:tcPr>
          <w:p w14:paraId="088C6E5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015-2020</w:t>
            </w:r>
          </w:p>
        </w:tc>
        <w:tc>
          <w:tcPr>
            <w:tcW w:w="8114" w:type="dxa"/>
            <w:shd w:val="clear" w:color="auto" w:fill="auto"/>
            <w:hideMark/>
          </w:tcPr>
          <w:p w14:paraId="0E71B85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1304-2020 del Consejo Superior, comunicando acuerdo de sesión 10-2020, del 6 de febrero del 2020, artículo XL, sobre oficio CJP007-2020 del informe 1531-PLA-ES-2019, de los cuadros estadísticos sobre los homicidios dolosos durante el 2018 y el último quinquenio</w:t>
            </w:r>
            <w:r>
              <w:rPr>
                <w:rFonts w:ascii="Arial" w:eastAsia="Times New Roman" w:hAnsi="Arial" w:cs="Arial"/>
                <w:sz w:val="20"/>
                <w:szCs w:val="20"/>
                <w:lang w:eastAsia="es-CR"/>
              </w:rPr>
              <w:t>.</w:t>
            </w:r>
          </w:p>
        </w:tc>
      </w:tr>
      <w:tr w:rsidR="00356493" w:rsidRPr="00BB53C0" w14:paraId="5F4FD9AC" w14:textId="77777777" w:rsidTr="00356493">
        <w:trPr>
          <w:trHeight w:val="1860"/>
        </w:trPr>
        <w:tc>
          <w:tcPr>
            <w:tcW w:w="1520" w:type="dxa"/>
            <w:shd w:val="clear" w:color="auto" w:fill="auto"/>
            <w:vAlign w:val="center"/>
            <w:hideMark/>
          </w:tcPr>
          <w:p w14:paraId="4B3C9DB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016-2020</w:t>
            </w:r>
          </w:p>
        </w:tc>
        <w:tc>
          <w:tcPr>
            <w:tcW w:w="8114" w:type="dxa"/>
            <w:shd w:val="clear" w:color="auto" w:fill="auto"/>
            <w:hideMark/>
          </w:tcPr>
          <w:p w14:paraId="6F7B113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1445-2020 del Consejo Superior, comunicando acuerdo de la sesión 11-2020 del 11 de febrero del 2020, artículo LXVII, sobre la Ley de Penalización de Violencia Contra la Mujer por razón de género bajo el ámbito de la Ley de Penalización de Violencia Contra la Mujer y el Convenio Belém do Pará, atendido mediante oficio CJP012-2020</w:t>
            </w:r>
            <w:r>
              <w:rPr>
                <w:rFonts w:ascii="Arial" w:eastAsia="Times New Roman" w:hAnsi="Arial" w:cs="Arial"/>
                <w:sz w:val="20"/>
                <w:szCs w:val="20"/>
                <w:lang w:eastAsia="es-CR"/>
              </w:rPr>
              <w:t>.</w:t>
            </w:r>
          </w:p>
        </w:tc>
      </w:tr>
      <w:tr w:rsidR="00356493" w:rsidRPr="00BB53C0" w14:paraId="7B970BA2" w14:textId="77777777" w:rsidTr="00356493">
        <w:trPr>
          <w:trHeight w:val="2040"/>
        </w:trPr>
        <w:tc>
          <w:tcPr>
            <w:tcW w:w="1520" w:type="dxa"/>
            <w:shd w:val="clear" w:color="auto" w:fill="auto"/>
            <w:vAlign w:val="center"/>
            <w:hideMark/>
          </w:tcPr>
          <w:p w14:paraId="155E76F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017-2020</w:t>
            </w:r>
          </w:p>
        </w:tc>
        <w:tc>
          <w:tcPr>
            <w:tcW w:w="8114" w:type="dxa"/>
            <w:shd w:val="clear" w:color="auto" w:fill="auto"/>
            <w:hideMark/>
          </w:tcPr>
          <w:p w14:paraId="6406FFF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1467-2020 de Corte Plena, comunicado acuerdo de sesión 03-2020 del 20 de enero del 2020, artículo XXV, sobre la reforma de la Ley de Penalización de la Violencia contra la Mujer, puede estar relacionado con la consulta 07-2020(Oficio Nº 02-CLP-2020, de la Comisión de Monitoreo y Seguimiento de la Ley de Penalización de la Violencia contra la Mujer, solicitando a la Comisión de Asuntos Penales para que se emita directriz de manera que los Tribunales de Juicio agenden con prioridad estos procesos de Ley de Penalización y los delitos sexuales, después de “reo preso”)</w:t>
            </w:r>
            <w:r>
              <w:rPr>
                <w:rFonts w:ascii="Arial" w:eastAsia="Times New Roman" w:hAnsi="Arial" w:cs="Arial"/>
                <w:sz w:val="20"/>
                <w:szCs w:val="20"/>
                <w:lang w:eastAsia="es-CR"/>
              </w:rPr>
              <w:t>.</w:t>
            </w:r>
          </w:p>
        </w:tc>
      </w:tr>
      <w:tr w:rsidR="00356493" w:rsidRPr="00BB53C0" w14:paraId="0E31069B" w14:textId="77777777" w:rsidTr="00356493">
        <w:trPr>
          <w:trHeight w:val="1860"/>
        </w:trPr>
        <w:tc>
          <w:tcPr>
            <w:tcW w:w="1520" w:type="dxa"/>
            <w:shd w:val="clear" w:color="auto" w:fill="auto"/>
            <w:vAlign w:val="center"/>
            <w:hideMark/>
          </w:tcPr>
          <w:p w14:paraId="6CA642A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018-2020</w:t>
            </w:r>
          </w:p>
        </w:tc>
        <w:tc>
          <w:tcPr>
            <w:tcW w:w="8114" w:type="dxa"/>
            <w:shd w:val="clear" w:color="auto" w:fill="auto"/>
            <w:hideMark/>
          </w:tcPr>
          <w:p w14:paraId="4158FEB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1471-2020 de Corte Plena, comunicando acuerdo de sesión 03-2020 del 20 de enero del 2020, artículo XXVI, sobre la consulta que realiza el Consejo de Administración de Grecia, sobre la aplicación de la circular 156-2013, atendido mediante oficio CJP219-2019</w:t>
            </w:r>
            <w:r>
              <w:rPr>
                <w:rFonts w:ascii="Arial" w:eastAsia="Times New Roman" w:hAnsi="Arial" w:cs="Arial"/>
                <w:sz w:val="20"/>
                <w:szCs w:val="20"/>
                <w:lang w:eastAsia="es-CR"/>
              </w:rPr>
              <w:t>.</w:t>
            </w:r>
          </w:p>
        </w:tc>
      </w:tr>
      <w:tr w:rsidR="00356493" w:rsidRPr="00BB53C0" w14:paraId="10D5541F" w14:textId="77777777" w:rsidTr="00356493">
        <w:trPr>
          <w:trHeight w:val="1860"/>
        </w:trPr>
        <w:tc>
          <w:tcPr>
            <w:tcW w:w="1520" w:type="dxa"/>
            <w:shd w:val="clear" w:color="auto" w:fill="auto"/>
            <w:vAlign w:val="center"/>
            <w:hideMark/>
          </w:tcPr>
          <w:p w14:paraId="09D7246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019-2020</w:t>
            </w:r>
          </w:p>
        </w:tc>
        <w:tc>
          <w:tcPr>
            <w:tcW w:w="8114" w:type="dxa"/>
            <w:shd w:val="clear" w:color="auto" w:fill="auto"/>
            <w:hideMark/>
          </w:tcPr>
          <w:p w14:paraId="1D9C50D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1516-2020 del Corte Plena, comunicando oficio 002-JCMCP-2018 del señor Carlos Alfonso Mora </w:t>
            </w:r>
            <w:proofErr w:type="spellStart"/>
            <w:r w:rsidRPr="00BB53C0">
              <w:rPr>
                <w:rFonts w:ascii="Arial" w:eastAsia="Times New Roman" w:hAnsi="Arial" w:cs="Arial"/>
                <w:sz w:val="20"/>
                <w:szCs w:val="20"/>
                <w:lang w:eastAsia="es-CR"/>
              </w:rPr>
              <w:t>Mora</w:t>
            </w:r>
            <w:proofErr w:type="spellEnd"/>
            <w:r w:rsidRPr="00BB53C0">
              <w:rPr>
                <w:rFonts w:ascii="Arial" w:eastAsia="Times New Roman" w:hAnsi="Arial" w:cs="Arial"/>
                <w:sz w:val="20"/>
                <w:szCs w:val="20"/>
                <w:lang w:eastAsia="es-CR"/>
              </w:rPr>
              <w:t xml:space="preserve">, Coordinador Judicial del Juzgado Contravencional y Menor Cuantía de Pavas, solicitando aclaración o interpretación del acuerdo adoptado por Corte Plena en sesión 54-02 del 02 de diciembre de 2002, artículo XVII. y el oficio JEFDP-144-2020 de la señora Diana Montero </w:t>
            </w:r>
            <w:proofErr w:type="spellStart"/>
            <w:r w:rsidRPr="00BB53C0">
              <w:rPr>
                <w:rFonts w:ascii="Arial" w:eastAsia="Times New Roman" w:hAnsi="Arial" w:cs="Arial"/>
                <w:sz w:val="20"/>
                <w:szCs w:val="20"/>
                <w:lang w:eastAsia="es-CR"/>
              </w:rPr>
              <w:t>Montero</w:t>
            </w:r>
            <w:proofErr w:type="spellEnd"/>
            <w:r w:rsidRPr="00BB53C0">
              <w:rPr>
                <w:rFonts w:ascii="Arial" w:eastAsia="Times New Roman" w:hAnsi="Arial" w:cs="Arial"/>
                <w:sz w:val="20"/>
                <w:szCs w:val="20"/>
                <w:lang w:eastAsia="es-CR"/>
              </w:rPr>
              <w:t>, jefa de la Defensa Pública, como respuesta</w:t>
            </w:r>
            <w:r>
              <w:rPr>
                <w:rFonts w:ascii="Arial" w:eastAsia="Times New Roman" w:hAnsi="Arial" w:cs="Arial"/>
                <w:sz w:val="20"/>
                <w:szCs w:val="20"/>
                <w:lang w:eastAsia="es-CR"/>
              </w:rPr>
              <w:t>.</w:t>
            </w:r>
          </w:p>
        </w:tc>
      </w:tr>
      <w:tr w:rsidR="00356493" w:rsidRPr="00BB53C0" w14:paraId="63765853" w14:textId="77777777" w:rsidTr="00356493">
        <w:trPr>
          <w:trHeight w:val="1860"/>
        </w:trPr>
        <w:tc>
          <w:tcPr>
            <w:tcW w:w="1520" w:type="dxa"/>
            <w:shd w:val="clear" w:color="auto" w:fill="auto"/>
            <w:vAlign w:val="center"/>
            <w:hideMark/>
          </w:tcPr>
          <w:p w14:paraId="6308D5D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020-2020</w:t>
            </w:r>
          </w:p>
        </w:tc>
        <w:tc>
          <w:tcPr>
            <w:tcW w:w="8114" w:type="dxa"/>
            <w:shd w:val="clear" w:color="auto" w:fill="auto"/>
            <w:hideMark/>
          </w:tcPr>
          <w:p w14:paraId="65009C3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246-PLA-ES-2020, de la Dirección de Planificación, sobre el informe relacionado con el análisis y cuadros estadísticos de los movimientos de trabajo en los Tribunales Penales, durante el 2018 y el último quinquenio</w:t>
            </w:r>
            <w:r>
              <w:rPr>
                <w:rFonts w:ascii="Arial" w:eastAsia="Times New Roman" w:hAnsi="Arial" w:cs="Arial"/>
                <w:sz w:val="20"/>
                <w:szCs w:val="20"/>
                <w:lang w:eastAsia="es-CR"/>
              </w:rPr>
              <w:t>.</w:t>
            </w:r>
          </w:p>
        </w:tc>
      </w:tr>
      <w:tr w:rsidR="00356493" w:rsidRPr="00BB53C0" w14:paraId="0F611097" w14:textId="77777777" w:rsidTr="00356493">
        <w:trPr>
          <w:trHeight w:val="1860"/>
        </w:trPr>
        <w:tc>
          <w:tcPr>
            <w:tcW w:w="1520" w:type="dxa"/>
            <w:shd w:val="clear" w:color="auto" w:fill="auto"/>
            <w:vAlign w:val="center"/>
            <w:hideMark/>
          </w:tcPr>
          <w:p w14:paraId="4E2760A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021-2020</w:t>
            </w:r>
          </w:p>
        </w:tc>
        <w:tc>
          <w:tcPr>
            <w:tcW w:w="8114" w:type="dxa"/>
            <w:shd w:val="clear" w:color="auto" w:fill="auto"/>
            <w:hideMark/>
          </w:tcPr>
          <w:p w14:paraId="57B32A0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284-PLA-OI-2020, de la Dirección de Planificación, sobre el informe de rediseño del proceso del modelo penal mediante nuevas tecnologías de información del Tribunal Penal del Primer Circuito Judicial de Guanacaste, sede Cañas.</w:t>
            </w:r>
          </w:p>
        </w:tc>
      </w:tr>
      <w:tr w:rsidR="00356493" w:rsidRPr="00BB53C0" w14:paraId="102F79E4" w14:textId="77777777" w:rsidTr="00356493">
        <w:trPr>
          <w:trHeight w:val="1860"/>
        </w:trPr>
        <w:tc>
          <w:tcPr>
            <w:tcW w:w="1520" w:type="dxa"/>
            <w:shd w:val="clear" w:color="auto" w:fill="auto"/>
            <w:vAlign w:val="center"/>
            <w:hideMark/>
          </w:tcPr>
          <w:p w14:paraId="19C6187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022-2020</w:t>
            </w:r>
          </w:p>
        </w:tc>
        <w:tc>
          <w:tcPr>
            <w:tcW w:w="8114" w:type="dxa"/>
            <w:shd w:val="clear" w:color="auto" w:fill="auto"/>
            <w:hideMark/>
          </w:tcPr>
          <w:p w14:paraId="5FA676F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287-PLA-OI-2020, de la Dirección de Planificación, sobre el informe relacionado con el rediseño del Proceso Penal, del Juzgado Penal de Sarapiquí</w:t>
            </w:r>
            <w:r>
              <w:rPr>
                <w:rFonts w:ascii="Arial" w:eastAsia="Times New Roman" w:hAnsi="Arial" w:cs="Arial"/>
                <w:sz w:val="20"/>
                <w:szCs w:val="20"/>
                <w:lang w:eastAsia="es-CR"/>
              </w:rPr>
              <w:t>.</w:t>
            </w:r>
          </w:p>
        </w:tc>
      </w:tr>
      <w:tr w:rsidR="00356493" w:rsidRPr="00BB53C0" w14:paraId="5422B87A" w14:textId="77777777" w:rsidTr="00356493">
        <w:trPr>
          <w:trHeight w:val="1860"/>
        </w:trPr>
        <w:tc>
          <w:tcPr>
            <w:tcW w:w="1520" w:type="dxa"/>
            <w:shd w:val="clear" w:color="auto" w:fill="auto"/>
            <w:vAlign w:val="center"/>
            <w:hideMark/>
          </w:tcPr>
          <w:p w14:paraId="0863D93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023-2020</w:t>
            </w:r>
          </w:p>
        </w:tc>
        <w:tc>
          <w:tcPr>
            <w:tcW w:w="8114" w:type="dxa"/>
            <w:shd w:val="clear" w:color="auto" w:fill="auto"/>
            <w:hideMark/>
          </w:tcPr>
          <w:p w14:paraId="79913EC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285-PLA-OI-2020, de la Dirección de Planificación, sobre el informe relacionado con el rediseño de procesos de la Sección de Flagrancia de Liberia</w:t>
            </w:r>
            <w:r>
              <w:rPr>
                <w:rFonts w:ascii="Arial" w:eastAsia="Times New Roman" w:hAnsi="Arial" w:cs="Arial"/>
                <w:sz w:val="20"/>
                <w:szCs w:val="20"/>
                <w:lang w:eastAsia="es-CR"/>
              </w:rPr>
              <w:t>.</w:t>
            </w:r>
          </w:p>
        </w:tc>
      </w:tr>
      <w:tr w:rsidR="00356493" w:rsidRPr="00BB53C0" w14:paraId="358681D3" w14:textId="77777777" w:rsidTr="00356493">
        <w:trPr>
          <w:trHeight w:val="1860"/>
        </w:trPr>
        <w:tc>
          <w:tcPr>
            <w:tcW w:w="1520" w:type="dxa"/>
            <w:shd w:val="clear" w:color="auto" w:fill="auto"/>
            <w:vAlign w:val="center"/>
            <w:hideMark/>
          </w:tcPr>
          <w:p w14:paraId="530C0C2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024-2020</w:t>
            </w:r>
          </w:p>
        </w:tc>
        <w:tc>
          <w:tcPr>
            <w:tcW w:w="8114" w:type="dxa"/>
            <w:shd w:val="clear" w:color="auto" w:fill="auto"/>
            <w:hideMark/>
          </w:tcPr>
          <w:p w14:paraId="103AA98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104-STGAJ-2020 de la Secretaría Técnica de Genero y Acceso a la Justicia, referente al informe sobre las medidas y actuaciones adoptadas para dar cumplimiento a lo ordenado en la resolución 19-010316-0007-CO, sobre las políticas institucionales del Poder Judicial</w:t>
            </w:r>
            <w:r>
              <w:rPr>
                <w:rFonts w:ascii="Arial" w:eastAsia="Times New Roman" w:hAnsi="Arial" w:cs="Arial"/>
                <w:sz w:val="20"/>
                <w:szCs w:val="20"/>
                <w:lang w:eastAsia="es-CR"/>
              </w:rPr>
              <w:t>.</w:t>
            </w:r>
          </w:p>
        </w:tc>
      </w:tr>
      <w:tr w:rsidR="00356493" w:rsidRPr="00BB53C0" w14:paraId="5BE56282" w14:textId="77777777" w:rsidTr="00356493">
        <w:trPr>
          <w:trHeight w:val="1860"/>
        </w:trPr>
        <w:tc>
          <w:tcPr>
            <w:tcW w:w="1520" w:type="dxa"/>
            <w:shd w:val="clear" w:color="auto" w:fill="auto"/>
            <w:vAlign w:val="center"/>
            <w:hideMark/>
          </w:tcPr>
          <w:p w14:paraId="042F571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025-2020</w:t>
            </w:r>
          </w:p>
        </w:tc>
        <w:tc>
          <w:tcPr>
            <w:tcW w:w="8114" w:type="dxa"/>
            <w:shd w:val="clear" w:color="auto" w:fill="auto"/>
            <w:hideMark/>
          </w:tcPr>
          <w:p w14:paraId="272BF1B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DVV-S1-024-2020, de la señora magistrada Damaris Vargas V, coordinadora de la Sub Comisión de Acceso a la Justicia de Pueblos Indígenas, trasladando la gestión planteada por la señora Ariana Céspedes López, Fiscala Adjunta Indígena, relativo a las ayudas económicas a las personas indígenas</w:t>
            </w:r>
            <w:r>
              <w:rPr>
                <w:rFonts w:ascii="Arial" w:eastAsia="Times New Roman" w:hAnsi="Arial" w:cs="Arial"/>
                <w:sz w:val="20"/>
                <w:szCs w:val="20"/>
                <w:lang w:eastAsia="es-CR"/>
              </w:rPr>
              <w:t>.</w:t>
            </w:r>
          </w:p>
        </w:tc>
      </w:tr>
      <w:tr w:rsidR="00356493" w:rsidRPr="00BB53C0" w14:paraId="09FE1FB1" w14:textId="77777777" w:rsidTr="00356493">
        <w:trPr>
          <w:trHeight w:val="2040"/>
        </w:trPr>
        <w:tc>
          <w:tcPr>
            <w:tcW w:w="1520" w:type="dxa"/>
            <w:shd w:val="clear" w:color="auto" w:fill="auto"/>
            <w:vAlign w:val="center"/>
            <w:hideMark/>
          </w:tcPr>
          <w:p w14:paraId="0A00EB5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026-2020</w:t>
            </w:r>
          </w:p>
        </w:tc>
        <w:tc>
          <w:tcPr>
            <w:tcW w:w="8114" w:type="dxa"/>
            <w:shd w:val="clear" w:color="auto" w:fill="auto"/>
            <w:hideMark/>
          </w:tcPr>
          <w:p w14:paraId="6050775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25-SEGA-2020 de la Auditoría Judicial, solicitando indicar las acciones realizadas, por parte de la Comisión de la Jurisdicción Penal, así como la evidencia respectiva, en relación con las sugerencias números 1 y 2 contenidas en el Informe de Advertencia N° 932-47-SAO-2019 del 13 de agosto de 2019, relacionado con “…Los accesos y permisos otorgados a nivel del Ministerio Público, respecto las anotaciones en el Sistema de Registro Electrónico de Mandamientos”, conocido por el Consejo Superior en la sesión N° 75-2019 del 27 de agosto de 2019</w:t>
            </w:r>
            <w:r>
              <w:rPr>
                <w:rFonts w:ascii="Arial" w:eastAsia="Times New Roman" w:hAnsi="Arial" w:cs="Arial"/>
                <w:sz w:val="20"/>
                <w:szCs w:val="20"/>
                <w:lang w:eastAsia="es-CR"/>
              </w:rPr>
              <w:t>.</w:t>
            </w:r>
          </w:p>
        </w:tc>
      </w:tr>
      <w:tr w:rsidR="00356493" w:rsidRPr="00BB53C0" w14:paraId="7A5EB27E" w14:textId="77777777" w:rsidTr="00356493">
        <w:trPr>
          <w:trHeight w:val="2175"/>
        </w:trPr>
        <w:tc>
          <w:tcPr>
            <w:tcW w:w="1520" w:type="dxa"/>
            <w:shd w:val="clear" w:color="auto" w:fill="auto"/>
            <w:vAlign w:val="center"/>
            <w:hideMark/>
          </w:tcPr>
          <w:p w14:paraId="751284C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027-2020</w:t>
            </w:r>
          </w:p>
        </w:tc>
        <w:tc>
          <w:tcPr>
            <w:tcW w:w="8114" w:type="dxa"/>
            <w:shd w:val="clear" w:color="auto" w:fill="auto"/>
            <w:hideMark/>
          </w:tcPr>
          <w:p w14:paraId="627D422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2081-2020, del Consejo Superior, comunicando acuerdo de sesión 11-2020 del 11 de febrero del 2020, artículo LV, sobre el oficio Nº 124-PLA-ES-2020 del 28 de enero en curso, el Ingeniero Dixon Li Morales, Jefe interino del Proceso Ejecución de las Operaciones de la Dirección de Planificación, remite el informe suscrito por la licenciada Ana Ericka Rodríguez Araya, Jefa del Subproceso de Estadística, relacionado con un resumen de aquellos expedientes que, al 30 de junio de 2019, todavía se encontraban activos en los diferentes despachos judiciales de primera instancia. </w:t>
            </w:r>
          </w:p>
        </w:tc>
      </w:tr>
      <w:tr w:rsidR="00356493" w:rsidRPr="00BB53C0" w14:paraId="6F67E46D" w14:textId="77777777" w:rsidTr="00356493">
        <w:trPr>
          <w:trHeight w:val="1860"/>
        </w:trPr>
        <w:tc>
          <w:tcPr>
            <w:tcW w:w="1520" w:type="dxa"/>
            <w:shd w:val="clear" w:color="auto" w:fill="auto"/>
            <w:vAlign w:val="center"/>
            <w:hideMark/>
          </w:tcPr>
          <w:p w14:paraId="1DF2890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028-2020</w:t>
            </w:r>
          </w:p>
        </w:tc>
        <w:tc>
          <w:tcPr>
            <w:tcW w:w="8114" w:type="dxa"/>
            <w:shd w:val="clear" w:color="auto" w:fill="auto"/>
            <w:hideMark/>
          </w:tcPr>
          <w:p w14:paraId="7C80AC8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13-Mag.2.SCP-2020, de la Dirección de Planificación, relativo a la respuesta de </w:t>
            </w:r>
            <w:proofErr w:type="spellStart"/>
            <w:r w:rsidRPr="00BB53C0">
              <w:rPr>
                <w:rFonts w:ascii="Arial" w:eastAsia="Times New Roman" w:hAnsi="Arial" w:cs="Arial"/>
                <w:sz w:val="20"/>
                <w:szCs w:val="20"/>
                <w:lang w:eastAsia="es-CR"/>
              </w:rPr>
              <w:t>porqué</w:t>
            </w:r>
            <w:proofErr w:type="spellEnd"/>
            <w:r w:rsidRPr="00BB53C0">
              <w:rPr>
                <w:rFonts w:ascii="Arial" w:eastAsia="Times New Roman" w:hAnsi="Arial" w:cs="Arial"/>
                <w:sz w:val="20"/>
                <w:szCs w:val="20"/>
                <w:lang w:eastAsia="es-CR"/>
              </w:rPr>
              <w:t xml:space="preserve"> no se le incluyo a la Comisión de la Jurisdicción Penal, en la evaluación del plan institucional 2013-2018. </w:t>
            </w:r>
          </w:p>
        </w:tc>
      </w:tr>
      <w:tr w:rsidR="00356493" w:rsidRPr="00BB53C0" w14:paraId="289AA5D4" w14:textId="77777777" w:rsidTr="00356493">
        <w:trPr>
          <w:trHeight w:val="1860"/>
        </w:trPr>
        <w:tc>
          <w:tcPr>
            <w:tcW w:w="1520" w:type="dxa"/>
            <w:shd w:val="clear" w:color="auto" w:fill="auto"/>
            <w:vAlign w:val="center"/>
            <w:hideMark/>
          </w:tcPr>
          <w:p w14:paraId="7FB30FB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029-2020</w:t>
            </w:r>
          </w:p>
        </w:tc>
        <w:tc>
          <w:tcPr>
            <w:tcW w:w="8114" w:type="dxa"/>
            <w:shd w:val="clear" w:color="auto" w:fill="auto"/>
            <w:hideMark/>
          </w:tcPr>
          <w:p w14:paraId="136F1C3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2108-2020 de Corte Plena, comunicado acuerdo de sesión 06-2020, del 10 de febrero del 2020, artículo XVIII, sobre oficio 362-DG-2017, sobre el informe de cuenta de la Comisión de Enlace Corte - O.I.J. sobre la Ley Contra la Delincuencia Organizada. </w:t>
            </w:r>
          </w:p>
        </w:tc>
      </w:tr>
      <w:tr w:rsidR="00356493" w:rsidRPr="00BB53C0" w14:paraId="3E2C67EC" w14:textId="77777777" w:rsidTr="00356493">
        <w:trPr>
          <w:trHeight w:val="1860"/>
        </w:trPr>
        <w:tc>
          <w:tcPr>
            <w:tcW w:w="1520" w:type="dxa"/>
            <w:shd w:val="clear" w:color="auto" w:fill="auto"/>
            <w:vAlign w:val="center"/>
            <w:hideMark/>
          </w:tcPr>
          <w:p w14:paraId="4FD877C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030-2020</w:t>
            </w:r>
          </w:p>
        </w:tc>
        <w:tc>
          <w:tcPr>
            <w:tcW w:w="8114" w:type="dxa"/>
            <w:shd w:val="clear" w:color="auto" w:fill="auto"/>
            <w:hideMark/>
          </w:tcPr>
          <w:p w14:paraId="3E78DFB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2272-2020 del Consejo Superior, remitiendo acuerdo de sesión 18-2020 del 5 de marzo del 2020, artículo LII, sobre los oficios 322-PLA-PP-2020 de la Dirección de Planificación y DGPN-SD-242-2019, sobre "Lineamientos sobre Formulación, Ejecución y Evaluación del Presupuesto de la República". </w:t>
            </w:r>
          </w:p>
        </w:tc>
      </w:tr>
      <w:tr w:rsidR="00356493" w:rsidRPr="00BB53C0" w14:paraId="6C1E11C8" w14:textId="77777777" w:rsidTr="00356493">
        <w:trPr>
          <w:trHeight w:val="1860"/>
        </w:trPr>
        <w:tc>
          <w:tcPr>
            <w:tcW w:w="1520" w:type="dxa"/>
            <w:shd w:val="clear" w:color="auto" w:fill="auto"/>
            <w:vAlign w:val="center"/>
            <w:hideMark/>
          </w:tcPr>
          <w:p w14:paraId="489B91C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031-2020</w:t>
            </w:r>
          </w:p>
        </w:tc>
        <w:tc>
          <w:tcPr>
            <w:tcW w:w="8114" w:type="dxa"/>
            <w:shd w:val="clear" w:color="auto" w:fill="auto"/>
            <w:hideMark/>
          </w:tcPr>
          <w:p w14:paraId="1334D00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320-PLA-MI-2020, de la Dirección de Planificación, relativo al oficio 461-PLA-2018, sobre el Modelo de Atención del Organismo de Investigación Judicial, atendido mediante oficio CJP183-2019. I</w:t>
            </w:r>
          </w:p>
        </w:tc>
      </w:tr>
      <w:tr w:rsidR="00356493" w:rsidRPr="00BB53C0" w14:paraId="5A44E00D" w14:textId="77777777" w:rsidTr="00356493">
        <w:trPr>
          <w:trHeight w:val="1860"/>
        </w:trPr>
        <w:tc>
          <w:tcPr>
            <w:tcW w:w="1520" w:type="dxa"/>
            <w:shd w:val="clear" w:color="auto" w:fill="auto"/>
            <w:vAlign w:val="center"/>
            <w:hideMark/>
          </w:tcPr>
          <w:p w14:paraId="589D130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032-2020</w:t>
            </w:r>
          </w:p>
        </w:tc>
        <w:tc>
          <w:tcPr>
            <w:tcW w:w="8114" w:type="dxa"/>
            <w:shd w:val="clear" w:color="auto" w:fill="auto"/>
            <w:hideMark/>
          </w:tcPr>
          <w:p w14:paraId="1CF0BB0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fecha 07 de marzo del 2020, del señor Luis Guillermo Araya Vallejos, comunicando problemática que se da en el Tribunal Penal de Santa Cruz, con relación a los asuntos de Crimen Organizado y la falta de personal de la Defensa Pública. </w:t>
            </w:r>
          </w:p>
        </w:tc>
      </w:tr>
      <w:tr w:rsidR="00356493" w:rsidRPr="00BB53C0" w14:paraId="69E9F828" w14:textId="77777777" w:rsidTr="00356493">
        <w:trPr>
          <w:trHeight w:val="1860"/>
        </w:trPr>
        <w:tc>
          <w:tcPr>
            <w:tcW w:w="1520" w:type="dxa"/>
            <w:shd w:val="clear" w:color="auto" w:fill="auto"/>
            <w:vAlign w:val="center"/>
            <w:hideMark/>
          </w:tcPr>
          <w:p w14:paraId="1F54360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033-2020</w:t>
            </w:r>
          </w:p>
        </w:tc>
        <w:tc>
          <w:tcPr>
            <w:tcW w:w="8114" w:type="dxa"/>
            <w:shd w:val="clear" w:color="auto" w:fill="auto"/>
            <w:hideMark/>
          </w:tcPr>
          <w:p w14:paraId="7CA891B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014-CCPJ-2020, del Centro de Conciliación del Poder Judicial, solicitando aclarar lo manifestado por la Mag. Patricia, en el acuerdo de Corte Plena del 10 de febrero del 2020, artículo XXIV, sobre la gran cantidad de asuntos prescritos en dicho Centro. </w:t>
            </w:r>
          </w:p>
        </w:tc>
      </w:tr>
      <w:tr w:rsidR="00356493" w:rsidRPr="00BB53C0" w14:paraId="197E4E6C" w14:textId="77777777" w:rsidTr="00356493">
        <w:trPr>
          <w:trHeight w:val="1860"/>
        </w:trPr>
        <w:tc>
          <w:tcPr>
            <w:tcW w:w="1520" w:type="dxa"/>
            <w:shd w:val="clear" w:color="auto" w:fill="auto"/>
            <w:vAlign w:val="center"/>
            <w:hideMark/>
          </w:tcPr>
          <w:p w14:paraId="4FE2140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034-2020</w:t>
            </w:r>
          </w:p>
        </w:tc>
        <w:tc>
          <w:tcPr>
            <w:tcW w:w="8114" w:type="dxa"/>
            <w:shd w:val="clear" w:color="auto" w:fill="auto"/>
            <w:hideMark/>
          </w:tcPr>
          <w:p w14:paraId="2F2780A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2300-2020 del Consejo Superior, remitiendo acuerdo de sesión 16-2020, del 27 de febrero del 2020, artículo LV, relacionado con el "Procedimiento para la Grabación de las Audiencias Orales y Actos de Investigación aten</w:t>
            </w:r>
            <w:r>
              <w:rPr>
                <w:rFonts w:ascii="Arial" w:eastAsia="Times New Roman" w:hAnsi="Arial" w:cs="Arial"/>
                <w:sz w:val="20"/>
                <w:szCs w:val="20"/>
                <w:lang w:eastAsia="es-CR"/>
              </w:rPr>
              <w:t>di</w:t>
            </w:r>
            <w:r w:rsidRPr="00BB53C0">
              <w:rPr>
                <w:rFonts w:ascii="Arial" w:eastAsia="Times New Roman" w:hAnsi="Arial" w:cs="Arial"/>
                <w:sz w:val="20"/>
                <w:szCs w:val="20"/>
                <w:lang w:eastAsia="es-CR"/>
              </w:rPr>
              <w:t xml:space="preserve">do mediante oficio CJP023-2020. </w:t>
            </w:r>
          </w:p>
        </w:tc>
      </w:tr>
      <w:tr w:rsidR="00356493" w:rsidRPr="00BB53C0" w14:paraId="5BC3A86B" w14:textId="77777777" w:rsidTr="00356493">
        <w:trPr>
          <w:trHeight w:val="1875"/>
        </w:trPr>
        <w:tc>
          <w:tcPr>
            <w:tcW w:w="1520" w:type="dxa"/>
            <w:shd w:val="clear" w:color="auto" w:fill="auto"/>
            <w:vAlign w:val="center"/>
            <w:hideMark/>
          </w:tcPr>
          <w:p w14:paraId="1D9345F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035-2020</w:t>
            </w:r>
          </w:p>
        </w:tc>
        <w:tc>
          <w:tcPr>
            <w:tcW w:w="8114" w:type="dxa"/>
            <w:shd w:val="clear" w:color="auto" w:fill="auto"/>
            <w:hideMark/>
          </w:tcPr>
          <w:p w14:paraId="35F038E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015-CCPJ-2020, del Centro de Conciliación del Poder Judicial, dando respuesta al oficio 2118-2020 del 10 de febrero del 2020, artículo XXIV, relativo a la propuesta de reforma de la Ley Orgánica del Poder Judicial, remite proyecto de Ley. </w:t>
            </w:r>
          </w:p>
        </w:tc>
      </w:tr>
      <w:tr w:rsidR="00356493" w:rsidRPr="00BB53C0" w14:paraId="2CB55FF0" w14:textId="77777777" w:rsidTr="00356493">
        <w:trPr>
          <w:trHeight w:val="1875"/>
        </w:trPr>
        <w:tc>
          <w:tcPr>
            <w:tcW w:w="1520" w:type="dxa"/>
            <w:shd w:val="clear" w:color="auto" w:fill="auto"/>
            <w:vAlign w:val="center"/>
            <w:hideMark/>
          </w:tcPr>
          <w:p w14:paraId="7C20FB0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036-2020</w:t>
            </w:r>
          </w:p>
        </w:tc>
        <w:tc>
          <w:tcPr>
            <w:tcW w:w="8114" w:type="dxa"/>
            <w:shd w:val="clear" w:color="auto" w:fill="auto"/>
            <w:hideMark/>
          </w:tcPr>
          <w:p w14:paraId="184BBD9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DJ-944-2020 de la Dirección Jurídica, remitiendo oficio DGT-284-2020 de la Directora General de Tributación del Ministerio de Hacienda, sobre la resolución sobre el trámite de los mandamientos judiciales. Dan 15 días.</w:t>
            </w:r>
          </w:p>
        </w:tc>
      </w:tr>
      <w:tr w:rsidR="00356493" w:rsidRPr="00BB53C0" w14:paraId="58FBE11A" w14:textId="77777777" w:rsidTr="00356493">
        <w:trPr>
          <w:trHeight w:val="1875"/>
        </w:trPr>
        <w:tc>
          <w:tcPr>
            <w:tcW w:w="1520" w:type="dxa"/>
            <w:shd w:val="clear" w:color="auto" w:fill="auto"/>
            <w:vAlign w:val="center"/>
            <w:hideMark/>
          </w:tcPr>
          <w:p w14:paraId="452E4D5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037-2020</w:t>
            </w:r>
          </w:p>
        </w:tc>
        <w:tc>
          <w:tcPr>
            <w:tcW w:w="8114" w:type="dxa"/>
            <w:shd w:val="clear" w:color="auto" w:fill="auto"/>
            <w:hideMark/>
          </w:tcPr>
          <w:p w14:paraId="1C5A8DB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343-72-SEGA-2020 de la Auditoría Judicial, remitiendo informe sobre el resultado del seguimiento de las sugerencias de Auditoria dirigidas a la Comisión de la Jurisdicción Penal. Referencia CJP228-2019 y CJP033-2020</w:t>
            </w:r>
            <w:r>
              <w:rPr>
                <w:rFonts w:ascii="Arial" w:eastAsia="Times New Roman" w:hAnsi="Arial" w:cs="Arial"/>
                <w:sz w:val="20"/>
                <w:szCs w:val="20"/>
                <w:lang w:eastAsia="es-CR"/>
              </w:rPr>
              <w:t>.</w:t>
            </w:r>
          </w:p>
        </w:tc>
      </w:tr>
      <w:tr w:rsidR="00356493" w:rsidRPr="00BB53C0" w14:paraId="2729A0D0" w14:textId="77777777" w:rsidTr="00356493">
        <w:trPr>
          <w:trHeight w:val="1860"/>
        </w:trPr>
        <w:tc>
          <w:tcPr>
            <w:tcW w:w="1520" w:type="dxa"/>
            <w:shd w:val="clear" w:color="auto" w:fill="auto"/>
            <w:vAlign w:val="center"/>
            <w:hideMark/>
          </w:tcPr>
          <w:p w14:paraId="51F775B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038-2020</w:t>
            </w:r>
          </w:p>
        </w:tc>
        <w:tc>
          <w:tcPr>
            <w:tcW w:w="8114" w:type="dxa"/>
            <w:shd w:val="clear" w:color="auto" w:fill="auto"/>
            <w:hideMark/>
          </w:tcPr>
          <w:p w14:paraId="1D6AD99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2740-2020, del Consejo Superior, remitiendo acuerdo de sesión 17-2020 del 3 de marzo del 2020, artículo LIII, sobre la aprobación del Protocolo de Cadena de Custodia en el manejo de los procesos penales, atendido por la Comisión mediante oficio CJP195-2019</w:t>
            </w:r>
            <w:r>
              <w:rPr>
                <w:rFonts w:ascii="Arial" w:eastAsia="Times New Roman" w:hAnsi="Arial" w:cs="Arial"/>
                <w:sz w:val="20"/>
                <w:szCs w:val="20"/>
                <w:lang w:eastAsia="es-CR"/>
              </w:rPr>
              <w:t>.</w:t>
            </w:r>
          </w:p>
        </w:tc>
      </w:tr>
      <w:tr w:rsidR="00356493" w:rsidRPr="00BB53C0" w14:paraId="1E36A0D3" w14:textId="77777777" w:rsidTr="00356493">
        <w:trPr>
          <w:trHeight w:val="1860"/>
        </w:trPr>
        <w:tc>
          <w:tcPr>
            <w:tcW w:w="1520" w:type="dxa"/>
            <w:shd w:val="clear" w:color="auto" w:fill="auto"/>
            <w:vAlign w:val="center"/>
            <w:hideMark/>
          </w:tcPr>
          <w:p w14:paraId="030B1F3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039-2020</w:t>
            </w:r>
          </w:p>
        </w:tc>
        <w:tc>
          <w:tcPr>
            <w:tcW w:w="8114" w:type="dxa"/>
            <w:shd w:val="clear" w:color="auto" w:fill="auto"/>
            <w:hideMark/>
          </w:tcPr>
          <w:p w14:paraId="5CB81CD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2119-2020 de Corte Plena comunicando acuerdo de sesión 06-2020 del 10 de febrero del 2020, artículo XXIV, referentes a la propuesta de reforma a la Ley Orgánica del Poder Judicial, en cuanto a la obligatoriedad de los jueces y juezas en sus diferentes materias de incorporar el mecanismo de resolución alternativa de conflictos. </w:t>
            </w:r>
          </w:p>
        </w:tc>
      </w:tr>
      <w:tr w:rsidR="00356493" w:rsidRPr="00BB53C0" w14:paraId="3670848F" w14:textId="77777777" w:rsidTr="00356493">
        <w:trPr>
          <w:trHeight w:val="1860"/>
        </w:trPr>
        <w:tc>
          <w:tcPr>
            <w:tcW w:w="1520" w:type="dxa"/>
            <w:shd w:val="clear" w:color="auto" w:fill="auto"/>
            <w:vAlign w:val="center"/>
            <w:hideMark/>
          </w:tcPr>
          <w:p w14:paraId="30C484C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040-2020</w:t>
            </w:r>
          </w:p>
        </w:tc>
        <w:tc>
          <w:tcPr>
            <w:tcW w:w="8114" w:type="dxa"/>
            <w:shd w:val="clear" w:color="auto" w:fill="auto"/>
            <w:hideMark/>
          </w:tcPr>
          <w:p w14:paraId="7E26ED7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474-PLA-PE-2020, de la Dirección de Planificación, remitiendo informe suscrito por el Máster Allan </w:t>
            </w:r>
            <w:proofErr w:type="spellStart"/>
            <w:r w:rsidRPr="00BB53C0">
              <w:rPr>
                <w:rFonts w:ascii="Arial" w:eastAsia="Times New Roman" w:hAnsi="Arial" w:cs="Arial"/>
                <w:sz w:val="20"/>
                <w:szCs w:val="20"/>
                <w:lang w:eastAsia="es-CR"/>
              </w:rPr>
              <w:t>Pow</w:t>
            </w:r>
            <w:proofErr w:type="spellEnd"/>
            <w:r w:rsidRPr="00BB53C0">
              <w:rPr>
                <w:rFonts w:ascii="Arial" w:eastAsia="Times New Roman" w:hAnsi="Arial" w:cs="Arial"/>
                <w:sz w:val="20"/>
                <w:szCs w:val="20"/>
                <w:lang w:eastAsia="es-CR"/>
              </w:rPr>
              <w:t xml:space="preserve">, jefe de Subproceso de Planificación Estratégica, relacionado con el seguimiento de los proyectos estratégicos, a los cuales da seguimiento esta Dirección. </w:t>
            </w:r>
          </w:p>
        </w:tc>
      </w:tr>
      <w:tr w:rsidR="00356493" w:rsidRPr="00BB53C0" w14:paraId="027BC10B" w14:textId="77777777" w:rsidTr="00356493">
        <w:trPr>
          <w:trHeight w:val="1860"/>
        </w:trPr>
        <w:tc>
          <w:tcPr>
            <w:tcW w:w="1520" w:type="dxa"/>
            <w:shd w:val="clear" w:color="auto" w:fill="auto"/>
            <w:vAlign w:val="center"/>
            <w:hideMark/>
          </w:tcPr>
          <w:p w14:paraId="159A40E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041-2020</w:t>
            </w:r>
          </w:p>
        </w:tc>
        <w:tc>
          <w:tcPr>
            <w:tcW w:w="8114" w:type="dxa"/>
            <w:shd w:val="clear" w:color="auto" w:fill="auto"/>
            <w:hideMark/>
          </w:tcPr>
          <w:p w14:paraId="59B7FD4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2826-2020 del Consejo Superior, comunicando acuerdo de sesión 17-2020 del 03 de marzo del 2020, artículo XLIX, sobre las Reglas para el dictado de las sentencias orales o escritas en las distintas jurisdicciones del país, atendido por la Comisión mediante oficio CJP113-2019/CJP030-2020. </w:t>
            </w:r>
          </w:p>
        </w:tc>
      </w:tr>
      <w:tr w:rsidR="00356493" w:rsidRPr="00BB53C0" w14:paraId="498383A7" w14:textId="77777777" w:rsidTr="00356493">
        <w:trPr>
          <w:trHeight w:val="1860"/>
        </w:trPr>
        <w:tc>
          <w:tcPr>
            <w:tcW w:w="1520" w:type="dxa"/>
            <w:shd w:val="clear" w:color="auto" w:fill="auto"/>
            <w:vAlign w:val="center"/>
            <w:hideMark/>
          </w:tcPr>
          <w:p w14:paraId="60A9845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042-2020</w:t>
            </w:r>
          </w:p>
        </w:tc>
        <w:tc>
          <w:tcPr>
            <w:tcW w:w="8114" w:type="dxa"/>
            <w:shd w:val="clear" w:color="auto" w:fill="auto"/>
            <w:hideMark/>
          </w:tcPr>
          <w:p w14:paraId="624699B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2817-2020 del Consejo Superior, comunicando acuerdo de sesión 17-2020 del 3 de marzo del 2020, artículo XLVII, sobre la revisión del acta de la visita del Tribunal de la Inspección Judicial al Circuito Judicial de Limón, atendido por la Comisión mediante oficio CJP025-2020</w:t>
            </w:r>
            <w:r>
              <w:rPr>
                <w:rFonts w:ascii="Arial" w:eastAsia="Times New Roman" w:hAnsi="Arial" w:cs="Arial"/>
                <w:sz w:val="20"/>
                <w:szCs w:val="20"/>
                <w:lang w:eastAsia="es-CR"/>
              </w:rPr>
              <w:t>.</w:t>
            </w:r>
          </w:p>
        </w:tc>
      </w:tr>
      <w:tr w:rsidR="00356493" w:rsidRPr="00BB53C0" w14:paraId="52E806F7" w14:textId="77777777" w:rsidTr="00356493">
        <w:trPr>
          <w:trHeight w:val="1860"/>
        </w:trPr>
        <w:tc>
          <w:tcPr>
            <w:tcW w:w="1520" w:type="dxa"/>
            <w:shd w:val="clear" w:color="auto" w:fill="auto"/>
            <w:vAlign w:val="center"/>
            <w:hideMark/>
          </w:tcPr>
          <w:p w14:paraId="555E81C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043-2020</w:t>
            </w:r>
          </w:p>
        </w:tc>
        <w:tc>
          <w:tcPr>
            <w:tcW w:w="8114" w:type="dxa"/>
            <w:shd w:val="clear" w:color="auto" w:fill="auto"/>
            <w:hideMark/>
          </w:tcPr>
          <w:p w14:paraId="25A5562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2818-2020 del Consejo Superior, remitiendo acuerdo de sesión 17-2020 del 03 de marzo del 2020, artículo XLVIII, relacionado con el acta de visita realizada por el Tribunal de la Inspección Judicial al Tribunal de Juicio del Primer Circuito Judicial de la Zona Atlántica. Atendida mediante oficio CJP026-2020.</w:t>
            </w:r>
          </w:p>
        </w:tc>
      </w:tr>
      <w:tr w:rsidR="00356493" w:rsidRPr="00BB53C0" w14:paraId="40A9DE8A" w14:textId="77777777" w:rsidTr="00356493">
        <w:trPr>
          <w:trHeight w:val="1860"/>
        </w:trPr>
        <w:tc>
          <w:tcPr>
            <w:tcW w:w="1520" w:type="dxa"/>
            <w:shd w:val="clear" w:color="auto" w:fill="auto"/>
            <w:vAlign w:val="center"/>
            <w:hideMark/>
          </w:tcPr>
          <w:p w14:paraId="2A600CE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044-2020 </w:t>
            </w:r>
          </w:p>
        </w:tc>
        <w:tc>
          <w:tcPr>
            <w:tcW w:w="8114" w:type="dxa"/>
            <w:shd w:val="clear" w:color="auto" w:fill="auto"/>
            <w:hideMark/>
          </w:tcPr>
          <w:p w14:paraId="41DC6F6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2820-2020 del Consejo Superior, remitiendo acuerdo de sesión 17-2020 del 03 de marzo del 2020, artículo L, relacionado con Criterio de la Comisión sobre el la rogatoria de la Agencia de Protección de Datos, atendido por la comisión mediante oficio CJP029-2020. </w:t>
            </w:r>
          </w:p>
        </w:tc>
      </w:tr>
      <w:tr w:rsidR="00356493" w:rsidRPr="00BB53C0" w14:paraId="2732977D" w14:textId="77777777" w:rsidTr="00356493">
        <w:trPr>
          <w:trHeight w:val="1860"/>
        </w:trPr>
        <w:tc>
          <w:tcPr>
            <w:tcW w:w="1520" w:type="dxa"/>
            <w:shd w:val="clear" w:color="auto" w:fill="auto"/>
            <w:vAlign w:val="center"/>
            <w:hideMark/>
          </w:tcPr>
          <w:p w14:paraId="4FCB291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045-2020</w:t>
            </w:r>
          </w:p>
        </w:tc>
        <w:tc>
          <w:tcPr>
            <w:tcW w:w="8114" w:type="dxa"/>
            <w:shd w:val="clear" w:color="auto" w:fill="auto"/>
            <w:hideMark/>
          </w:tcPr>
          <w:p w14:paraId="3FF4A38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2914-2020 del Consejo Superior, mediante el cual nos comunican el acuerdo de la sesión 21-2020, del 24 de marzo del 2020, artículo XI, mediante el cual se acordó aprobar el informe "resumen del Anteproyecto de Presupuesto y el Plan Anual Operativo, correspondiente a cada una de las Comisiones Institucionales y del Programa Hacia Cero Papel y el Consejo de Personal". </w:t>
            </w:r>
          </w:p>
        </w:tc>
      </w:tr>
      <w:tr w:rsidR="00356493" w:rsidRPr="00BB53C0" w14:paraId="087F639C" w14:textId="77777777" w:rsidTr="00356493">
        <w:trPr>
          <w:trHeight w:val="1860"/>
        </w:trPr>
        <w:tc>
          <w:tcPr>
            <w:tcW w:w="1520" w:type="dxa"/>
            <w:shd w:val="clear" w:color="auto" w:fill="auto"/>
            <w:vAlign w:val="center"/>
            <w:hideMark/>
          </w:tcPr>
          <w:p w14:paraId="5AEA4C4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046-2020</w:t>
            </w:r>
          </w:p>
        </w:tc>
        <w:tc>
          <w:tcPr>
            <w:tcW w:w="8114" w:type="dxa"/>
            <w:shd w:val="clear" w:color="auto" w:fill="auto"/>
            <w:hideMark/>
          </w:tcPr>
          <w:p w14:paraId="697D56F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3025-2020 del Consejo Superior, mediante el cual nos comunica el acuerdo de sesión 24-2020 del 19 de marzo del 2020, artículo LXXI, relacionado con los resultados de la visita realizada en el Juzgado Mixto de Sarapiquí, por parte de la Inspección Judicial, atendida mediante oficio CJP035-2020. </w:t>
            </w:r>
          </w:p>
        </w:tc>
      </w:tr>
      <w:tr w:rsidR="00356493" w:rsidRPr="00BB53C0" w14:paraId="7E976D29" w14:textId="77777777" w:rsidTr="00356493">
        <w:trPr>
          <w:trHeight w:val="1860"/>
        </w:trPr>
        <w:tc>
          <w:tcPr>
            <w:tcW w:w="1520" w:type="dxa"/>
            <w:shd w:val="clear" w:color="auto" w:fill="auto"/>
            <w:vAlign w:val="center"/>
            <w:hideMark/>
          </w:tcPr>
          <w:p w14:paraId="1A1D0B8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047-2020</w:t>
            </w:r>
          </w:p>
        </w:tc>
        <w:tc>
          <w:tcPr>
            <w:tcW w:w="8114" w:type="dxa"/>
            <w:shd w:val="clear" w:color="auto" w:fill="auto"/>
            <w:hideMark/>
          </w:tcPr>
          <w:p w14:paraId="674FE1D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3075-2020 del Consejo Superior, comunicando el acuerdo de sesión 24-2020, del 19 de marzo del 2020, artículo LXX, sobre los cuadros estadísticos de personas fallecidas por accidentes de tránsito ocurridas en el 2018 y que fueron atendidas por los oficiales de la Policía Judicial del O.I.J. atendido mediante oficio CJP039-2020</w:t>
            </w:r>
            <w:r>
              <w:rPr>
                <w:rFonts w:ascii="Arial" w:eastAsia="Times New Roman" w:hAnsi="Arial" w:cs="Arial"/>
                <w:sz w:val="20"/>
                <w:szCs w:val="20"/>
                <w:lang w:eastAsia="es-CR"/>
              </w:rPr>
              <w:t>.</w:t>
            </w:r>
          </w:p>
        </w:tc>
      </w:tr>
      <w:tr w:rsidR="00356493" w:rsidRPr="00BB53C0" w14:paraId="02455D97" w14:textId="77777777" w:rsidTr="00356493">
        <w:trPr>
          <w:trHeight w:val="1860"/>
        </w:trPr>
        <w:tc>
          <w:tcPr>
            <w:tcW w:w="1520" w:type="dxa"/>
            <w:shd w:val="clear" w:color="auto" w:fill="auto"/>
            <w:vAlign w:val="center"/>
            <w:hideMark/>
          </w:tcPr>
          <w:p w14:paraId="1243B45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048-2020</w:t>
            </w:r>
          </w:p>
        </w:tc>
        <w:tc>
          <w:tcPr>
            <w:tcW w:w="8114" w:type="dxa"/>
            <w:shd w:val="clear" w:color="auto" w:fill="auto"/>
            <w:hideMark/>
          </w:tcPr>
          <w:p w14:paraId="4A6AE7A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MJP-227-03-2020 del Ministerio de Justicia y Paz, remitiendo consultas ante la emergencia sanitaria nacional producto del virus COVID-19, en aras de proteger los derechos fundamentales de la población penitenciaria, así como adición de la Magistrada Sandra Zúñiga. </w:t>
            </w:r>
          </w:p>
        </w:tc>
      </w:tr>
      <w:tr w:rsidR="00356493" w:rsidRPr="00BB53C0" w14:paraId="565E42AF" w14:textId="77777777" w:rsidTr="00356493">
        <w:trPr>
          <w:trHeight w:val="1860"/>
        </w:trPr>
        <w:tc>
          <w:tcPr>
            <w:tcW w:w="1520" w:type="dxa"/>
            <w:shd w:val="clear" w:color="auto" w:fill="auto"/>
            <w:vAlign w:val="center"/>
            <w:hideMark/>
          </w:tcPr>
          <w:p w14:paraId="3A24299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049-2020</w:t>
            </w:r>
          </w:p>
        </w:tc>
        <w:tc>
          <w:tcPr>
            <w:tcW w:w="8114" w:type="dxa"/>
            <w:shd w:val="clear" w:color="auto" w:fill="auto"/>
            <w:hideMark/>
          </w:tcPr>
          <w:p w14:paraId="185D825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CACC-101-2020, de la Unidad de Acceso a la Justicia, remitiendo acuerdo de la Subcomisión de Acceso a la Justicia de Pueblos Indígenas. </w:t>
            </w:r>
          </w:p>
        </w:tc>
      </w:tr>
      <w:tr w:rsidR="00356493" w:rsidRPr="00BB53C0" w14:paraId="112293C1" w14:textId="77777777" w:rsidTr="00356493">
        <w:trPr>
          <w:trHeight w:val="1860"/>
        </w:trPr>
        <w:tc>
          <w:tcPr>
            <w:tcW w:w="1520" w:type="dxa"/>
            <w:shd w:val="clear" w:color="auto" w:fill="auto"/>
            <w:vAlign w:val="center"/>
            <w:hideMark/>
          </w:tcPr>
          <w:p w14:paraId="79310FC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050-2020</w:t>
            </w:r>
          </w:p>
        </w:tc>
        <w:tc>
          <w:tcPr>
            <w:tcW w:w="8114" w:type="dxa"/>
            <w:shd w:val="clear" w:color="auto" w:fill="auto"/>
            <w:hideMark/>
          </w:tcPr>
          <w:p w14:paraId="6A38690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2971-2020 del Consejo Superior remitiendo acuerdo de sesión 24-2020, del 19 de marzo del 2020, artículo LXXII, sobre el informe 1264-PLA-2019, de la Dirección de Planificación, relacionado con los cuadros estadísticos sobre movimientos de trabajo en las fiscalías penales durante el 2018 y el último quinquenio. Atendido por la Comisión mediante oficio CJP037-2020. </w:t>
            </w:r>
          </w:p>
        </w:tc>
      </w:tr>
      <w:tr w:rsidR="00356493" w:rsidRPr="00BB53C0" w14:paraId="310C35A0" w14:textId="77777777" w:rsidTr="00356493">
        <w:trPr>
          <w:trHeight w:val="1860"/>
        </w:trPr>
        <w:tc>
          <w:tcPr>
            <w:tcW w:w="1520" w:type="dxa"/>
            <w:shd w:val="clear" w:color="auto" w:fill="auto"/>
            <w:vAlign w:val="center"/>
            <w:hideMark/>
          </w:tcPr>
          <w:p w14:paraId="768B14E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051-2020</w:t>
            </w:r>
          </w:p>
        </w:tc>
        <w:tc>
          <w:tcPr>
            <w:tcW w:w="8114" w:type="dxa"/>
            <w:shd w:val="clear" w:color="auto" w:fill="auto"/>
            <w:hideMark/>
          </w:tcPr>
          <w:p w14:paraId="50ADA7D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3261-2020 del Consejo Superior, remitiendo el acuerdo de sesión 30-2020, del 31 de marzo del 2020, artículo LIV, sobre el informe de la Dirección de Planificación 516-PLA-2020 sobre el acatamiento al punto 1.3 de la circular 57-2020, relacionado con las disposiciones para el funcionamiento del sistema de justicia penal, ante el Covid-19. </w:t>
            </w:r>
          </w:p>
        </w:tc>
      </w:tr>
      <w:tr w:rsidR="00356493" w:rsidRPr="00BB53C0" w14:paraId="0E222E22" w14:textId="77777777" w:rsidTr="00356493">
        <w:trPr>
          <w:trHeight w:val="1860"/>
        </w:trPr>
        <w:tc>
          <w:tcPr>
            <w:tcW w:w="1520" w:type="dxa"/>
            <w:shd w:val="clear" w:color="auto" w:fill="auto"/>
            <w:vAlign w:val="center"/>
            <w:hideMark/>
          </w:tcPr>
          <w:p w14:paraId="3C720B2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052-2020</w:t>
            </w:r>
          </w:p>
        </w:tc>
        <w:tc>
          <w:tcPr>
            <w:tcW w:w="8114" w:type="dxa"/>
            <w:shd w:val="clear" w:color="auto" w:fill="auto"/>
            <w:hideMark/>
          </w:tcPr>
          <w:p w14:paraId="7E228A5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3239-2020 del Consejo Superior, comunicando acuerdo de sesión 20-2020 del 12 de marzo del 2020, artículo LII, sobre los principales resultados obtenidos del análisis de las “Personas detenidas a la orden de los Juzgados y Tribunales Penales del país al finalizar el 2018, atendido por la Comisión mediante oficio CJP069-2020, pronunciamiento que no se </w:t>
            </w:r>
            <w:proofErr w:type="spellStart"/>
            <w:r w:rsidRPr="00BB53C0">
              <w:rPr>
                <w:rFonts w:ascii="Arial" w:eastAsia="Times New Roman" w:hAnsi="Arial" w:cs="Arial"/>
                <w:sz w:val="20"/>
                <w:szCs w:val="20"/>
                <w:lang w:eastAsia="es-CR"/>
              </w:rPr>
              <w:t>hecha</w:t>
            </w:r>
            <w:proofErr w:type="spellEnd"/>
            <w:r w:rsidRPr="00BB53C0">
              <w:rPr>
                <w:rFonts w:ascii="Arial" w:eastAsia="Times New Roman" w:hAnsi="Arial" w:cs="Arial"/>
                <w:sz w:val="20"/>
                <w:szCs w:val="20"/>
                <w:lang w:eastAsia="es-CR"/>
              </w:rPr>
              <w:t xml:space="preserve"> de menos en el informe de Planificación.</w:t>
            </w:r>
          </w:p>
        </w:tc>
      </w:tr>
      <w:tr w:rsidR="00356493" w:rsidRPr="00BB53C0" w14:paraId="617958B5" w14:textId="77777777" w:rsidTr="00356493">
        <w:trPr>
          <w:trHeight w:val="1860"/>
        </w:trPr>
        <w:tc>
          <w:tcPr>
            <w:tcW w:w="1520" w:type="dxa"/>
            <w:shd w:val="clear" w:color="auto" w:fill="auto"/>
            <w:vAlign w:val="center"/>
            <w:hideMark/>
          </w:tcPr>
          <w:p w14:paraId="5050920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053-2020</w:t>
            </w:r>
          </w:p>
        </w:tc>
        <w:tc>
          <w:tcPr>
            <w:tcW w:w="8114" w:type="dxa"/>
            <w:shd w:val="clear" w:color="auto" w:fill="auto"/>
            <w:hideMark/>
          </w:tcPr>
          <w:p w14:paraId="3DFE57C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3406-20 del Consejo Superior, comunicando acuerdo de sesión 29-2020 del 27 de marzo del 2020, artículo único, sobre el oficio 02-Mag.2.CSP-2020 de la Presidenta de la Comisión de la Jurisdicción Penal la Magistrada Patricia Solano,  en relación con la atención de la emergencia por contagio de la enfermedad Covid-19 en el Poder Judicial, según la cual, se solicitó a los gestores de las diferentes materias y jurisdicciones una propuesta de plan de trabajo para la atención de las oficinas durante este periodo indefinido de cierre. </w:t>
            </w:r>
          </w:p>
        </w:tc>
      </w:tr>
      <w:tr w:rsidR="00356493" w:rsidRPr="00BB53C0" w14:paraId="7F9C4A0F" w14:textId="77777777" w:rsidTr="00356493">
        <w:trPr>
          <w:trHeight w:val="1860"/>
        </w:trPr>
        <w:tc>
          <w:tcPr>
            <w:tcW w:w="1520" w:type="dxa"/>
            <w:shd w:val="clear" w:color="auto" w:fill="auto"/>
            <w:vAlign w:val="center"/>
            <w:hideMark/>
          </w:tcPr>
          <w:p w14:paraId="074D108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054-2020</w:t>
            </w:r>
          </w:p>
        </w:tc>
        <w:tc>
          <w:tcPr>
            <w:tcW w:w="8114" w:type="dxa"/>
            <w:shd w:val="clear" w:color="auto" w:fill="auto"/>
            <w:hideMark/>
          </w:tcPr>
          <w:p w14:paraId="3280507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CACC-130-2020 de la Comisión de Acceso a la Justicia del Poder Judicial, remitiendo acuerdo de sesión virtual del 31 de marzo del 2020, artículo V, solicitando a la Comisiones Jurisdiccionales, emitan las listas de personas juzgadoras por materia que estiman conveniente sean capacitadas con prioridad en la temática de "Promoción de la autonomía personal de las personas con Discapacidad". </w:t>
            </w:r>
          </w:p>
        </w:tc>
      </w:tr>
      <w:tr w:rsidR="00356493" w:rsidRPr="00BB53C0" w14:paraId="3B500EF4" w14:textId="77777777" w:rsidTr="00356493">
        <w:trPr>
          <w:trHeight w:val="1860"/>
        </w:trPr>
        <w:tc>
          <w:tcPr>
            <w:tcW w:w="1520" w:type="dxa"/>
            <w:shd w:val="clear" w:color="auto" w:fill="auto"/>
            <w:vAlign w:val="center"/>
            <w:hideMark/>
          </w:tcPr>
          <w:p w14:paraId="29D2175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055-2020</w:t>
            </w:r>
          </w:p>
        </w:tc>
        <w:tc>
          <w:tcPr>
            <w:tcW w:w="8114" w:type="dxa"/>
            <w:shd w:val="clear" w:color="auto" w:fill="auto"/>
            <w:hideMark/>
          </w:tcPr>
          <w:p w14:paraId="7BD5274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548-PLA-OI-2020, de la Dirección de Planificación, mediante el cual remite informe correspondiente al rediseño del modelo penal, ara el circuito judicial de Puntarenas</w:t>
            </w:r>
            <w:r>
              <w:rPr>
                <w:rFonts w:ascii="Arial" w:eastAsia="Times New Roman" w:hAnsi="Arial" w:cs="Arial"/>
                <w:sz w:val="20"/>
                <w:szCs w:val="20"/>
                <w:lang w:eastAsia="es-CR"/>
              </w:rPr>
              <w:t>.</w:t>
            </w:r>
          </w:p>
        </w:tc>
      </w:tr>
      <w:tr w:rsidR="00356493" w:rsidRPr="00BB53C0" w14:paraId="2B9E86E4" w14:textId="77777777" w:rsidTr="00356493">
        <w:trPr>
          <w:trHeight w:val="1860"/>
        </w:trPr>
        <w:tc>
          <w:tcPr>
            <w:tcW w:w="1520" w:type="dxa"/>
            <w:shd w:val="clear" w:color="auto" w:fill="auto"/>
            <w:vAlign w:val="center"/>
            <w:hideMark/>
          </w:tcPr>
          <w:p w14:paraId="095A89C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056-2020</w:t>
            </w:r>
          </w:p>
        </w:tc>
        <w:tc>
          <w:tcPr>
            <w:tcW w:w="8114" w:type="dxa"/>
            <w:shd w:val="clear" w:color="auto" w:fill="auto"/>
            <w:hideMark/>
          </w:tcPr>
          <w:p w14:paraId="7164305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3696-2020 del Consejo Superior, comunicando acuerdo de sesión 27-2020 del 24 de marzo del 2020, artículo LXXIII, sobre el oficio 409-PLA-2019 de la Dirección de Planificación, relativo a los 13 cuadros estadísticos y análisis, sobre los movimientos de trabajo en los juzgados competentes en materia Penal Juvenil Durante el 2017, atendido por la Comisión mediante oficio CJP185-2019. </w:t>
            </w:r>
          </w:p>
        </w:tc>
      </w:tr>
      <w:tr w:rsidR="00356493" w:rsidRPr="00BB53C0" w14:paraId="0AE80D2B" w14:textId="77777777" w:rsidTr="00356493">
        <w:trPr>
          <w:trHeight w:val="1860"/>
        </w:trPr>
        <w:tc>
          <w:tcPr>
            <w:tcW w:w="1520" w:type="dxa"/>
            <w:shd w:val="clear" w:color="auto" w:fill="auto"/>
            <w:vAlign w:val="center"/>
            <w:hideMark/>
          </w:tcPr>
          <w:p w14:paraId="7BA9AF3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057-2020</w:t>
            </w:r>
          </w:p>
        </w:tc>
        <w:tc>
          <w:tcPr>
            <w:tcW w:w="8114" w:type="dxa"/>
            <w:shd w:val="clear" w:color="auto" w:fill="auto"/>
            <w:hideMark/>
          </w:tcPr>
          <w:p w14:paraId="37B3E1B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3706-2020 del Consejo Superior, comunicando acuerdo de sesión 27-2020 del 24 de marzo del 2020, artículo LXXXI, sobre el informe 1090-PLA-ES-2019, de la Dirección de Planificación relacionado con las muertes ocurridas por homicidio culposo en Costa Rica durante el 2018 y que fueron atendidas por el O.I.J. atendido por la Comisión mediante oficio CJP040-2020. </w:t>
            </w:r>
          </w:p>
        </w:tc>
      </w:tr>
      <w:tr w:rsidR="00356493" w:rsidRPr="00BB53C0" w14:paraId="5185EB9E" w14:textId="77777777" w:rsidTr="00356493">
        <w:trPr>
          <w:trHeight w:val="1860"/>
        </w:trPr>
        <w:tc>
          <w:tcPr>
            <w:tcW w:w="1520" w:type="dxa"/>
            <w:shd w:val="clear" w:color="auto" w:fill="auto"/>
            <w:vAlign w:val="center"/>
            <w:hideMark/>
          </w:tcPr>
          <w:p w14:paraId="034DE79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058-2020</w:t>
            </w:r>
          </w:p>
        </w:tc>
        <w:tc>
          <w:tcPr>
            <w:tcW w:w="8114" w:type="dxa"/>
            <w:shd w:val="clear" w:color="auto" w:fill="auto"/>
            <w:hideMark/>
          </w:tcPr>
          <w:p w14:paraId="5EBB465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3703-2020 del Consejo Superior, comunicando acuerdo de sesión 27-2020 del 24 de marzo del 2020, artículo LXXX, sobre el informe 1354-PLA-ES-2019 de la Dirección de Planificación, relacionado con los movimientos ocurridos para la temática de personas fallecidas en Costa Rica por suicidios durante el 2018, atendido por la Comisión mediante oficio CJP041-2020. </w:t>
            </w:r>
          </w:p>
        </w:tc>
      </w:tr>
      <w:tr w:rsidR="00356493" w:rsidRPr="00BB53C0" w14:paraId="12B71BB4" w14:textId="77777777" w:rsidTr="00356493">
        <w:trPr>
          <w:trHeight w:val="1860"/>
        </w:trPr>
        <w:tc>
          <w:tcPr>
            <w:tcW w:w="1520" w:type="dxa"/>
            <w:shd w:val="clear" w:color="auto" w:fill="auto"/>
            <w:vAlign w:val="center"/>
            <w:hideMark/>
          </w:tcPr>
          <w:p w14:paraId="19ACFAD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059-2020</w:t>
            </w:r>
          </w:p>
        </w:tc>
        <w:tc>
          <w:tcPr>
            <w:tcW w:w="8114" w:type="dxa"/>
            <w:shd w:val="clear" w:color="auto" w:fill="auto"/>
            <w:hideMark/>
          </w:tcPr>
          <w:p w14:paraId="1C20004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559-PLA-OI-2020 de la Dirección de Planificación remitiendo informe relacionado al proyecto de mejora integral del proceso penal, sobre algunos aspectos en los Juzgados Penales y Juzgados de Ejecución de la Penal, que se requieren sean analizados por la Comisión. </w:t>
            </w:r>
          </w:p>
        </w:tc>
      </w:tr>
      <w:tr w:rsidR="00356493" w:rsidRPr="00BB53C0" w14:paraId="5BD1C6BF" w14:textId="77777777" w:rsidTr="00356493">
        <w:trPr>
          <w:trHeight w:val="1860"/>
        </w:trPr>
        <w:tc>
          <w:tcPr>
            <w:tcW w:w="1520" w:type="dxa"/>
            <w:shd w:val="clear" w:color="auto" w:fill="auto"/>
            <w:vAlign w:val="center"/>
            <w:hideMark/>
          </w:tcPr>
          <w:p w14:paraId="15AE8A8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060-2020</w:t>
            </w:r>
          </w:p>
        </w:tc>
        <w:tc>
          <w:tcPr>
            <w:tcW w:w="8114" w:type="dxa"/>
            <w:shd w:val="clear" w:color="auto" w:fill="auto"/>
            <w:hideMark/>
          </w:tcPr>
          <w:p w14:paraId="64062BF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3795-2020 de la Secretaría de la Corte, canalizando la gestión del señor </w:t>
            </w:r>
            <w:proofErr w:type="spellStart"/>
            <w:r w:rsidRPr="00BB53C0">
              <w:rPr>
                <w:rFonts w:ascii="Arial" w:eastAsia="Times New Roman" w:hAnsi="Arial" w:cs="Arial"/>
                <w:sz w:val="20"/>
                <w:szCs w:val="20"/>
                <w:lang w:eastAsia="es-CR"/>
              </w:rPr>
              <w:t>M.Sc</w:t>
            </w:r>
            <w:proofErr w:type="spellEnd"/>
            <w:r w:rsidRPr="00BB53C0">
              <w:rPr>
                <w:rFonts w:ascii="Arial" w:eastAsia="Times New Roman" w:hAnsi="Arial" w:cs="Arial"/>
                <w:sz w:val="20"/>
                <w:szCs w:val="20"/>
                <w:lang w:eastAsia="es-CR"/>
              </w:rPr>
              <w:t xml:space="preserve">. Juan Diego Quirós Delgado, mediante el cual plantea la idea de utilizar las videoconferencias para las audiencias orales. </w:t>
            </w:r>
          </w:p>
        </w:tc>
      </w:tr>
      <w:tr w:rsidR="00356493" w:rsidRPr="00BB53C0" w14:paraId="100AE332" w14:textId="77777777" w:rsidTr="00356493">
        <w:trPr>
          <w:trHeight w:val="1860"/>
        </w:trPr>
        <w:tc>
          <w:tcPr>
            <w:tcW w:w="1520" w:type="dxa"/>
            <w:shd w:val="clear" w:color="auto" w:fill="auto"/>
            <w:vAlign w:val="center"/>
            <w:hideMark/>
          </w:tcPr>
          <w:p w14:paraId="19C27EA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061-2020</w:t>
            </w:r>
          </w:p>
        </w:tc>
        <w:tc>
          <w:tcPr>
            <w:tcW w:w="8114" w:type="dxa"/>
            <w:shd w:val="clear" w:color="auto" w:fill="auto"/>
            <w:hideMark/>
          </w:tcPr>
          <w:p w14:paraId="5582A54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3741-2020 del Consejo Superior, remitiendo acuerdo de sesión 27-2020 del 24 de marzo del 2020, artículo LXIX, mediante el cual se conoció el oficio 320-PLA-MI-2020, relativo al informe relacionado con el "Modelo de atención del Organismo de Investigación Judicial"</w:t>
            </w:r>
            <w:r>
              <w:rPr>
                <w:rFonts w:ascii="Arial" w:eastAsia="Times New Roman" w:hAnsi="Arial" w:cs="Arial"/>
                <w:sz w:val="20"/>
                <w:szCs w:val="20"/>
                <w:lang w:eastAsia="es-CR"/>
              </w:rPr>
              <w:t>.</w:t>
            </w:r>
          </w:p>
        </w:tc>
      </w:tr>
      <w:tr w:rsidR="00356493" w:rsidRPr="00BB53C0" w14:paraId="6297EB6A" w14:textId="77777777" w:rsidTr="00356493">
        <w:trPr>
          <w:trHeight w:val="1860"/>
        </w:trPr>
        <w:tc>
          <w:tcPr>
            <w:tcW w:w="1520" w:type="dxa"/>
            <w:shd w:val="clear" w:color="auto" w:fill="auto"/>
            <w:vAlign w:val="center"/>
            <w:hideMark/>
          </w:tcPr>
          <w:p w14:paraId="0CBA9F3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062-2020</w:t>
            </w:r>
          </w:p>
        </w:tc>
        <w:tc>
          <w:tcPr>
            <w:tcW w:w="8114" w:type="dxa"/>
            <w:shd w:val="clear" w:color="auto" w:fill="auto"/>
            <w:hideMark/>
          </w:tcPr>
          <w:p w14:paraId="6E7A3D8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3802-2020 del Consejo Superior, remitiendo acuerdo de sesión 30-2020 del 31 de marzo del 2020, artículo XXV, mediante el cual se conoció el oficio 2173-PLA-OI-2019, relacionado con el análisis del tema de disponibilidad que atienden las juezas del Juzgado Penal de Cartago en materias especializadas como Penal Juvenil, Pensiones, Contravenciones y ejecución de la pena. </w:t>
            </w:r>
          </w:p>
        </w:tc>
      </w:tr>
      <w:tr w:rsidR="00356493" w:rsidRPr="00BB53C0" w14:paraId="496C00A9" w14:textId="77777777" w:rsidTr="00356493">
        <w:trPr>
          <w:trHeight w:val="1860"/>
        </w:trPr>
        <w:tc>
          <w:tcPr>
            <w:tcW w:w="1520" w:type="dxa"/>
            <w:shd w:val="clear" w:color="auto" w:fill="auto"/>
            <w:vAlign w:val="center"/>
            <w:hideMark/>
          </w:tcPr>
          <w:p w14:paraId="792F2D5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063-2020</w:t>
            </w:r>
          </w:p>
        </w:tc>
        <w:tc>
          <w:tcPr>
            <w:tcW w:w="8114" w:type="dxa"/>
            <w:shd w:val="clear" w:color="auto" w:fill="auto"/>
            <w:hideMark/>
          </w:tcPr>
          <w:p w14:paraId="21EAD7F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3631-2020 del Consejo Superior, remitiendo acuerdo de sesión 27-2020 del 24 de marzo del 2020, artículo XXV, mediante el cual se conoció el tema referente al informe relacionado con los accesos, permisos y perfiles creados para el registro de anotaciones en el Sistema de Registro Electrónico de Mandamientos (SREM)</w:t>
            </w:r>
            <w:r>
              <w:rPr>
                <w:rFonts w:ascii="Arial" w:eastAsia="Times New Roman" w:hAnsi="Arial" w:cs="Arial"/>
                <w:sz w:val="20"/>
                <w:szCs w:val="20"/>
                <w:lang w:eastAsia="es-CR"/>
              </w:rPr>
              <w:t>.</w:t>
            </w:r>
          </w:p>
        </w:tc>
      </w:tr>
      <w:tr w:rsidR="00356493" w:rsidRPr="00BB53C0" w14:paraId="3C02FC5A" w14:textId="77777777" w:rsidTr="00356493">
        <w:trPr>
          <w:trHeight w:val="1860"/>
        </w:trPr>
        <w:tc>
          <w:tcPr>
            <w:tcW w:w="1520" w:type="dxa"/>
            <w:shd w:val="clear" w:color="auto" w:fill="auto"/>
            <w:vAlign w:val="center"/>
            <w:hideMark/>
          </w:tcPr>
          <w:p w14:paraId="4F623CB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064-2020</w:t>
            </w:r>
          </w:p>
        </w:tc>
        <w:tc>
          <w:tcPr>
            <w:tcW w:w="8114" w:type="dxa"/>
            <w:shd w:val="clear" w:color="auto" w:fill="auto"/>
            <w:hideMark/>
          </w:tcPr>
          <w:p w14:paraId="06C12DB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3745-2020 del Consejo Superior, remitiendo acuerdo de sesión 24-2020, del 19 de marzo del 2020, artículo XV, mediante el cual se conoció el oficio DJ-C-105-2020, sobre la negativa del Organismo de Investigación Judicial de realizar ordenes de presentación en materia Contravencional. </w:t>
            </w:r>
          </w:p>
        </w:tc>
      </w:tr>
      <w:tr w:rsidR="00356493" w:rsidRPr="00BB53C0" w14:paraId="79EFFF2E" w14:textId="77777777" w:rsidTr="00356493">
        <w:trPr>
          <w:trHeight w:val="1860"/>
        </w:trPr>
        <w:tc>
          <w:tcPr>
            <w:tcW w:w="1520" w:type="dxa"/>
            <w:shd w:val="clear" w:color="auto" w:fill="auto"/>
            <w:vAlign w:val="center"/>
            <w:hideMark/>
          </w:tcPr>
          <w:p w14:paraId="5997D7B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065-2020</w:t>
            </w:r>
          </w:p>
        </w:tc>
        <w:tc>
          <w:tcPr>
            <w:tcW w:w="8114" w:type="dxa"/>
            <w:shd w:val="clear" w:color="auto" w:fill="auto"/>
            <w:hideMark/>
          </w:tcPr>
          <w:p w14:paraId="313C861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3863-2020 del Consejo Superior, remitiendo acuerdo de sesión 38-2020 del 17 de abril del 2020, artículo I, sobre el oficio PJ-DGH-CAP-022-2020, de la Dirección de Gestión Humana remitió la proyección presupuestaria para permisos con goce de salario con sustitución para personal judicial becado, así como ayudas económicas para actividades de capacitación y becas correspondientes al año 2021. </w:t>
            </w:r>
          </w:p>
        </w:tc>
      </w:tr>
      <w:tr w:rsidR="00356493" w:rsidRPr="00BB53C0" w14:paraId="61EDA74F" w14:textId="77777777" w:rsidTr="00356493">
        <w:trPr>
          <w:trHeight w:val="1860"/>
        </w:trPr>
        <w:tc>
          <w:tcPr>
            <w:tcW w:w="1520" w:type="dxa"/>
            <w:shd w:val="clear" w:color="auto" w:fill="auto"/>
            <w:vAlign w:val="center"/>
            <w:hideMark/>
          </w:tcPr>
          <w:p w14:paraId="071D931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066-2020</w:t>
            </w:r>
          </w:p>
        </w:tc>
        <w:tc>
          <w:tcPr>
            <w:tcW w:w="8114" w:type="dxa"/>
            <w:shd w:val="clear" w:color="auto" w:fill="auto"/>
            <w:hideMark/>
          </w:tcPr>
          <w:p w14:paraId="14A03A6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3958-2020 del Consejo Superior, de sesión 32-2020, del 2 de abril del 2020, artículo LX, relativo al oficio 1623-PLA-ES-2019 de la Dirección de Planificación, sobre los movimientos de trabajo de los Juzgados Penales Juveniles, durante el 2018, atendido por parte de la Comisión mediante oficio CJP058-2020. </w:t>
            </w:r>
          </w:p>
        </w:tc>
      </w:tr>
      <w:tr w:rsidR="00356493" w:rsidRPr="00BB53C0" w14:paraId="121391B3" w14:textId="77777777" w:rsidTr="00356493">
        <w:trPr>
          <w:trHeight w:val="1860"/>
        </w:trPr>
        <w:tc>
          <w:tcPr>
            <w:tcW w:w="1520" w:type="dxa"/>
            <w:shd w:val="clear" w:color="auto" w:fill="auto"/>
            <w:vAlign w:val="center"/>
            <w:hideMark/>
          </w:tcPr>
          <w:p w14:paraId="7538616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067-2020</w:t>
            </w:r>
          </w:p>
        </w:tc>
        <w:tc>
          <w:tcPr>
            <w:tcW w:w="8114" w:type="dxa"/>
            <w:shd w:val="clear" w:color="auto" w:fill="auto"/>
            <w:hideMark/>
          </w:tcPr>
          <w:p w14:paraId="0EFCC4B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3906-2020 del Consejo Superior, comunicando acuerdo de sesión 38-2020 del 17 de abril del 2020, artículo VIII, sobre la información concerniente a la formulación presupuestaria para el 2021. </w:t>
            </w:r>
          </w:p>
        </w:tc>
      </w:tr>
      <w:tr w:rsidR="00356493" w:rsidRPr="00BB53C0" w14:paraId="16B66E78" w14:textId="77777777" w:rsidTr="00356493">
        <w:trPr>
          <w:trHeight w:val="1860"/>
        </w:trPr>
        <w:tc>
          <w:tcPr>
            <w:tcW w:w="1520" w:type="dxa"/>
            <w:shd w:val="clear" w:color="auto" w:fill="auto"/>
            <w:vAlign w:val="center"/>
            <w:hideMark/>
          </w:tcPr>
          <w:p w14:paraId="13C9451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068-2020</w:t>
            </w:r>
          </w:p>
        </w:tc>
        <w:tc>
          <w:tcPr>
            <w:tcW w:w="8114" w:type="dxa"/>
            <w:shd w:val="clear" w:color="auto" w:fill="auto"/>
            <w:hideMark/>
          </w:tcPr>
          <w:p w14:paraId="2B6D2F2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610-PLA-2020 de la Dirección de Planificación, sobre circular 57-2020, donde se acordó valorar los casos que actualmente se encuentran con prisión preventiva próximos a vencer, durante abril, mayo y junio se solicita a la Comisión implementar el desarrollo de protocolo de actuación en audiencias virtuales mediante el uso de software Microsoft Teams, y dar seguimiento. </w:t>
            </w:r>
          </w:p>
        </w:tc>
      </w:tr>
      <w:tr w:rsidR="00356493" w:rsidRPr="00BB53C0" w14:paraId="2900CA98" w14:textId="77777777" w:rsidTr="00356493">
        <w:trPr>
          <w:trHeight w:val="1860"/>
        </w:trPr>
        <w:tc>
          <w:tcPr>
            <w:tcW w:w="1520" w:type="dxa"/>
            <w:shd w:val="clear" w:color="auto" w:fill="auto"/>
            <w:vAlign w:val="center"/>
            <w:hideMark/>
          </w:tcPr>
          <w:p w14:paraId="6FB8A4C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069-2020</w:t>
            </w:r>
          </w:p>
        </w:tc>
        <w:tc>
          <w:tcPr>
            <w:tcW w:w="8114" w:type="dxa"/>
            <w:shd w:val="clear" w:color="auto" w:fill="auto"/>
            <w:hideMark/>
          </w:tcPr>
          <w:p w14:paraId="1995F5B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4069-2020 del Consejo Superior, comunicando acuerdo de sesión 40-2020 del 23 de abril del 2020, artículo LXXVII, sobre la inclusión a las circulares del Covid-19, lo concerniente a la materia Penal Juvenil. </w:t>
            </w:r>
          </w:p>
        </w:tc>
      </w:tr>
      <w:tr w:rsidR="00356493" w:rsidRPr="00BB53C0" w14:paraId="0DC19374" w14:textId="77777777" w:rsidTr="00356493">
        <w:trPr>
          <w:trHeight w:val="1860"/>
        </w:trPr>
        <w:tc>
          <w:tcPr>
            <w:tcW w:w="1520" w:type="dxa"/>
            <w:shd w:val="clear" w:color="auto" w:fill="auto"/>
            <w:vAlign w:val="center"/>
            <w:hideMark/>
          </w:tcPr>
          <w:p w14:paraId="1E6903E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070-2020</w:t>
            </w:r>
          </w:p>
        </w:tc>
        <w:tc>
          <w:tcPr>
            <w:tcW w:w="8114" w:type="dxa"/>
            <w:shd w:val="clear" w:color="auto" w:fill="auto"/>
            <w:hideMark/>
          </w:tcPr>
          <w:p w14:paraId="3DC6C6B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623-PLA-EV-2020 de la Dirección de Planificación en atención al oficio de la Comisión CJP034-2020 al respecto del informe 278-PLA-EV-2020 del Plan Estratégico Institucional 2013-2018. </w:t>
            </w:r>
          </w:p>
        </w:tc>
      </w:tr>
      <w:tr w:rsidR="00356493" w:rsidRPr="00BB53C0" w14:paraId="2269ADDD" w14:textId="77777777" w:rsidTr="00356493">
        <w:trPr>
          <w:trHeight w:val="1860"/>
        </w:trPr>
        <w:tc>
          <w:tcPr>
            <w:tcW w:w="1520" w:type="dxa"/>
            <w:shd w:val="clear" w:color="auto" w:fill="auto"/>
            <w:vAlign w:val="center"/>
            <w:hideMark/>
          </w:tcPr>
          <w:p w14:paraId="5642751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071-2020</w:t>
            </w:r>
          </w:p>
        </w:tc>
        <w:tc>
          <w:tcPr>
            <w:tcW w:w="8114" w:type="dxa"/>
            <w:shd w:val="clear" w:color="auto" w:fill="auto"/>
            <w:hideMark/>
          </w:tcPr>
          <w:p w14:paraId="4E94180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4080-20 del Consejo Superior, de sesión 41-2020 del 28 de abril del 2020, artículo LXXXV, donde se conoció el oficio 516-PLA-2020, sobre los instrumentos de medición para los despachos judiciales oficio 31-Mag.2.SCP-2020. </w:t>
            </w:r>
          </w:p>
        </w:tc>
      </w:tr>
      <w:tr w:rsidR="00356493" w:rsidRPr="00BB53C0" w14:paraId="15DF38A3" w14:textId="77777777" w:rsidTr="00356493">
        <w:trPr>
          <w:trHeight w:val="1860"/>
        </w:trPr>
        <w:tc>
          <w:tcPr>
            <w:tcW w:w="1520" w:type="dxa"/>
            <w:shd w:val="clear" w:color="auto" w:fill="auto"/>
            <w:vAlign w:val="center"/>
            <w:hideMark/>
          </w:tcPr>
          <w:p w14:paraId="4B3FC66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072-2020</w:t>
            </w:r>
          </w:p>
        </w:tc>
        <w:tc>
          <w:tcPr>
            <w:tcW w:w="8114" w:type="dxa"/>
            <w:shd w:val="clear" w:color="auto" w:fill="auto"/>
            <w:hideMark/>
          </w:tcPr>
          <w:p w14:paraId="68AB7CC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4023-2020 del Consejo Superior, comunicando acuerdo de sesión 38-2020 del 17 de abril del 2020, artículo X, sobre lo concerniente a la formulación presupuestaria para el 2021 de las subpartidas 10701 y 10702 sobre actividades de capacitación y protocolarias. </w:t>
            </w:r>
          </w:p>
        </w:tc>
      </w:tr>
      <w:tr w:rsidR="00356493" w:rsidRPr="00BB53C0" w14:paraId="37A4B002" w14:textId="77777777" w:rsidTr="00356493">
        <w:trPr>
          <w:trHeight w:val="1860"/>
        </w:trPr>
        <w:tc>
          <w:tcPr>
            <w:tcW w:w="1520" w:type="dxa"/>
            <w:shd w:val="clear" w:color="auto" w:fill="auto"/>
            <w:vAlign w:val="center"/>
            <w:hideMark/>
          </w:tcPr>
          <w:p w14:paraId="2F8C843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073-2020</w:t>
            </w:r>
          </w:p>
        </w:tc>
        <w:tc>
          <w:tcPr>
            <w:tcW w:w="8114" w:type="dxa"/>
            <w:shd w:val="clear" w:color="auto" w:fill="auto"/>
            <w:hideMark/>
          </w:tcPr>
          <w:p w14:paraId="3CB99C0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parte del despacho de la Presidencia de la Corte, de fecha 05 de mayo del 2020, mediante el cual remite el oficio INAMU-PE-0270-2020, mediante el cual solicitan al Poder Judicial, definir directrices para impulsar políticas nacionales para la igualdad y equidad de género, con las instituciones públicas las instancias estatales que desarrollan programas para las mujeres y las organizaciones sociales ante en el contexto de la pandemia por el Covid-19, en resguardo de la niñez. </w:t>
            </w:r>
          </w:p>
        </w:tc>
      </w:tr>
      <w:tr w:rsidR="00356493" w:rsidRPr="00BB53C0" w14:paraId="11DBEC77" w14:textId="77777777" w:rsidTr="00356493">
        <w:trPr>
          <w:trHeight w:val="1860"/>
        </w:trPr>
        <w:tc>
          <w:tcPr>
            <w:tcW w:w="1520" w:type="dxa"/>
            <w:shd w:val="clear" w:color="auto" w:fill="auto"/>
            <w:vAlign w:val="center"/>
            <w:hideMark/>
          </w:tcPr>
          <w:p w14:paraId="44011E4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074-2020</w:t>
            </w:r>
          </w:p>
        </w:tc>
        <w:tc>
          <w:tcPr>
            <w:tcW w:w="8114" w:type="dxa"/>
            <w:shd w:val="clear" w:color="auto" w:fill="auto"/>
            <w:hideMark/>
          </w:tcPr>
          <w:p w14:paraId="79F39D0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del señor Nelson Campos Vega, de fecha 6 de mayo del 2020, mediante el cual consulta a la Comisión al respecto de los sobreseimiento</w:t>
            </w:r>
            <w:r>
              <w:rPr>
                <w:rFonts w:ascii="Arial" w:eastAsia="Times New Roman" w:hAnsi="Arial" w:cs="Arial"/>
                <w:sz w:val="20"/>
                <w:szCs w:val="20"/>
                <w:lang w:eastAsia="es-CR"/>
              </w:rPr>
              <w:t>s</w:t>
            </w:r>
            <w:r w:rsidRPr="00BB53C0">
              <w:rPr>
                <w:rFonts w:ascii="Arial" w:eastAsia="Times New Roman" w:hAnsi="Arial" w:cs="Arial"/>
                <w:sz w:val="20"/>
                <w:szCs w:val="20"/>
                <w:lang w:eastAsia="es-CR"/>
              </w:rPr>
              <w:t xml:space="preserve"> definitivo</w:t>
            </w:r>
            <w:r>
              <w:rPr>
                <w:rFonts w:ascii="Arial" w:eastAsia="Times New Roman" w:hAnsi="Arial" w:cs="Arial"/>
                <w:sz w:val="20"/>
                <w:szCs w:val="20"/>
                <w:lang w:eastAsia="es-CR"/>
              </w:rPr>
              <w:t>s</w:t>
            </w:r>
            <w:r w:rsidRPr="00BB53C0">
              <w:rPr>
                <w:rFonts w:ascii="Arial" w:eastAsia="Times New Roman" w:hAnsi="Arial" w:cs="Arial"/>
                <w:sz w:val="20"/>
                <w:szCs w:val="20"/>
                <w:lang w:eastAsia="es-CR"/>
              </w:rPr>
              <w:t xml:space="preserve"> y otras gestiones. </w:t>
            </w:r>
          </w:p>
        </w:tc>
      </w:tr>
      <w:tr w:rsidR="00356493" w:rsidRPr="00BB53C0" w14:paraId="67A3409B" w14:textId="77777777" w:rsidTr="00356493">
        <w:trPr>
          <w:trHeight w:val="1860"/>
        </w:trPr>
        <w:tc>
          <w:tcPr>
            <w:tcW w:w="1520" w:type="dxa"/>
            <w:shd w:val="clear" w:color="auto" w:fill="auto"/>
            <w:vAlign w:val="center"/>
            <w:hideMark/>
          </w:tcPr>
          <w:p w14:paraId="3D0B395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075-2020</w:t>
            </w:r>
          </w:p>
        </w:tc>
        <w:tc>
          <w:tcPr>
            <w:tcW w:w="8114" w:type="dxa"/>
            <w:shd w:val="clear" w:color="auto" w:fill="auto"/>
            <w:hideMark/>
          </w:tcPr>
          <w:p w14:paraId="72A2B91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653-PLA-ES-2020, de la Dirección de Planificación, remitiendo informe sobre los movimientos de trabajo del Tribunal de Apelación de Sentencia Penal Juvenil del Segundo Circuito Judicial de San José, durante el 2019 y el último quinquenio. </w:t>
            </w:r>
          </w:p>
        </w:tc>
      </w:tr>
      <w:tr w:rsidR="00356493" w:rsidRPr="00BB53C0" w14:paraId="40D42CAF" w14:textId="77777777" w:rsidTr="00356493">
        <w:trPr>
          <w:trHeight w:val="1860"/>
        </w:trPr>
        <w:tc>
          <w:tcPr>
            <w:tcW w:w="1520" w:type="dxa"/>
            <w:shd w:val="clear" w:color="auto" w:fill="auto"/>
            <w:vAlign w:val="center"/>
            <w:hideMark/>
          </w:tcPr>
          <w:p w14:paraId="7CF25C6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076-2020</w:t>
            </w:r>
          </w:p>
        </w:tc>
        <w:tc>
          <w:tcPr>
            <w:tcW w:w="8114" w:type="dxa"/>
            <w:shd w:val="clear" w:color="auto" w:fill="auto"/>
            <w:hideMark/>
          </w:tcPr>
          <w:p w14:paraId="78CF393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DP-26-2020 del Despacho de la presidencia, mediante el cual le solicitan a la Comisión de parte de la Comisión de Emergencias, la remisión de una propuesta sobre la implementación de aquellos servicios que paulatinamente se tendrán que reanudar en vista a la flexibilización de las medidas adoptadas por el Poder Ejecutivo, ante la declaratoria de emergencia por el Covid-19. </w:t>
            </w:r>
          </w:p>
        </w:tc>
      </w:tr>
      <w:tr w:rsidR="00356493" w:rsidRPr="00BB53C0" w14:paraId="618AEDC8" w14:textId="77777777" w:rsidTr="00356493">
        <w:trPr>
          <w:trHeight w:val="1860"/>
        </w:trPr>
        <w:tc>
          <w:tcPr>
            <w:tcW w:w="1520" w:type="dxa"/>
            <w:shd w:val="clear" w:color="auto" w:fill="auto"/>
            <w:vAlign w:val="center"/>
            <w:hideMark/>
          </w:tcPr>
          <w:p w14:paraId="26C306B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077-2020</w:t>
            </w:r>
          </w:p>
        </w:tc>
        <w:tc>
          <w:tcPr>
            <w:tcW w:w="8114" w:type="dxa"/>
            <w:shd w:val="clear" w:color="auto" w:fill="auto"/>
            <w:hideMark/>
          </w:tcPr>
          <w:p w14:paraId="22E5B62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666-PLA-2020 de la Dirección de Planificación solicitando lineamientos en cuanto a las audiencias orales en materia contravencional</w:t>
            </w:r>
            <w:r>
              <w:rPr>
                <w:rFonts w:ascii="Arial" w:eastAsia="Times New Roman" w:hAnsi="Arial" w:cs="Arial"/>
                <w:sz w:val="20"/>
                <w:szCs w:val="20"/>
                <w:lang w:eastAsia="es-CR"/>
              </w:rPr>
              <w:t>.</w:t>
            </w:r>
          </w:p>
        </w:tc>
      </w:tr>
      <w:tr w:rsidR="00356493" w:rsidRPr="00BB53C0" w14:paraId="14F8C0FE" w14:textId="77777777" w:rsidTr="00356493">
        <w:trPr>
          <w:trHeight w:val="1860"/>
        </w:trPr>
        <w:tc>
          <w:tcPr>
            <w:tcW w:w="1520" w:type="dxa"/>
            <w:shd w:val="clear" w:color="auto" w:fill="auto"/>
            <w:vAlign w:val="center"/>
            <w:hideMark/>
          </w:tcPr>
          <w:p w14:paraId="29D1012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078-2020</w:t>
            </w:r>
          </w:p>
        </w:tc>
        <w:tc>
          <w:tcPr>
            <w:tcW w:w="8114" w:type="dxa"/>
            <w:shd w:val="clear" w:color="auto" w:fill="auto"/>
            <w:hideMark/>
          </w:tcPr>
          <w:p w14:paraId="5225F36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671-PLA-EV-MI-2020, de la Dirección de Planificación, mediante el cual nos remite copia de la solicitud de diseñar un protocolo para la atención de asuntos en forma virtual en audiencias de tránsito.</w:t>
            </w:r>
          </w:p>
        </w:tc>
      </w:tr>
      <w:tr w:rsidR="00356493" w:rsidRPr="00BB53C0" w14:paraId="0B7AC58B" w14:textId="77777777" w:rsidTr="00356493">
        <w:trPr>
          <w:trHeight w:val="1860"/>
        </w:trPr>
        <w:tc>
          <w:tcPr>
            <w:tcW w:w="1520" w:type="dxa"/>
            <w:shd w:val="clear" w:color="auto" w:fill="auto"/>
            <w:vAlign w:val="center"/>
            <w:hideMark/>
          </w:tcPr>
          <w:p w14:paraId="261097A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079-2020</w:t>
            </w:r>
          </w:p>
        </w:tc>
        <w:tc>
          <w:tcPr>
            <w:tcW w:w="8114" w:type="dxa"/>
            <w:shd w:val="clear" w:color="auto" w:fill="auto"/>
            <w:hideMark/>
          </w:tcPr>
          <w:p w14:paraId="6597CC0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4190-20 del Consejo Superior, comunicando acuerdo de sesión 28-2020 del 26 de marzo del 2020, artículo XLV, donde se conoció el informe 389-PLA-ES-2020, sobre los movimientos de trabajo del Juzgado de Ejecución de la Pena, durante el 2018 y último quinquenio</w:t>
            </w:r>
            <w:r>
              <w:rPr>
                <w:rFonts w:ascii="Arial" w:eastAsia="Times New Roman" w:hAnsi="Arial" w:cs="Arial"/>
                <w:sz w:val="20"/>
                <w:szCs w:val="20"/>
                <w:lang w:eastAsia="es-CR"/>
              </w:rPr>
              <w:t>.</w:t>
            </w:r>
          </w:p>
        </w:tc>
      </w:tr>
      <w:tr w:rsidR="00356493" w:rsidRPr="00BB53C0" w14:paraId="422872F1" w14:textId="77777777" w:rsidTr="00356493">
        <w:trPr>
          <w:trHeight w:val="1860"/>
        </w:trPr>
        <w:tc>
          <w:tcPr>
            <w:tcW w:w="1520" w:type="dxa"/>
            <w:shd w:val="clear" w:color="auto" w:fill="auto"/>
            <w:vAlign w:val="center"/>
            <w:hideMark/>
          </w:tcPr>
          <w:p w14:paraId="7FF9244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080-2020</w:t>
            </w:r>
          </w:p>
        </w:tc>
        <w:tc>
          <w:tcPr>
            <w:tcW w:w="8114" w:type="dxa"/>
            <w:shd w:val="clear" w:color="auto" w:fill="auto"/>
            <w:hideMark/>
          </w:tcPr>
          <w:p w14:paraId="13F1E69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674-PLA-ES-2020, de la Dirección de Planificación mediante el cual remiten listado de los tipos de audiencias, estados y motivos de cancelación de debates señalados que se reflejan en los informes de Agenda Cronos, para la generación de informes en materia penal. </w:t>
            </w:r>
          </w:p>
        </w:tc>
      </w:tr>
      <w:tr w:rsidR="00356493" w:rsidRPr="00BB53C0" w14:paraId="2F2AB69A" w14:textId="77777777" w:rsidTr="00356493">
        <w:trPr>
          <w:trHeight w:val="1860"/>
        </w:trPr>
        <w:tc>
          <w:tcPr>
            <w:tcW w:w="1520" w:type="dxa"/>
            <w:shd w:val="clear" w:color="auto" w:fill="auto"/>
            <w:vAlign w:val="center"/>
            <w:hideMark/>
          </w:tcPr>
          <w:p w14:paraId="24CE6EF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081-2020</w:t>
            </w:r>
          </w:p>
        </w:tc>
        <w:tc>
          <w:tcPr>
            <w:tcW w:w="8114" w:type="dxa"/>
            <w:shd w:val="clear" w:color="auto" w:fill="auto"/>
            <w:hideMark/>
          </w:tcPr>
          <w:p w14:paraId="1E83539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DVV-S1-060-2020 de la Magistrada Damaris Vargas, mediante la cual invita a participar de una capacitación sobre el Sistema de Monitoreo de Cambios de Uso de la Tierra en Paisajes Productivos, para la semana del 25 al 29 de mayo del 2020. </w:t>
            </w:r>
          </w:p>
        </w:tc>
      </w:tr>
      <w:tr w:rsidR="00356493" w:rsidRPr="00BB53C0" w14:paraId="4636DCA6" w14:textId="77777777" w:rsidTr="00356493">
        <w:trPr>
          <w:trHeight w:val="1860"/>
        </w:trPr>
        <w:tc>
          <w:tcPr>
            <w:tcW w:w="1520" w:type="dxa"/>
            <w:shd w:val="clear" w:color="auto" w:fill="auto"/>
            <w:vAlign w:val="center"/>
            <w:hideMark/>
          </w:tcPr>
          <w:p w14:paraId="14ABF74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082-2020</w:t>
            </w:r>
          </w:p>
        </w:tc>
        <w:tc>
          <w:tcPr>
            <w:tcW w:w="8114" w:type="dxa"/>
            <w:shd w:val="clear" w:color="auto" w:fill="auto"/>
            <w:hideMark/>
          </w:tcPr>
          <w:p w14:paraId="2439532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la señora Sara Jiménez Torres de la Contraloría de Servicios, de fecha 11 de mayo del 2020, mediante el cual solicita el criterio de la Comisión al respecto de una audiencia que no se realizó y el Ministerio Público no aviso a los testigos, los cuales sí se presentaron y generó molestias</w:t>
            </w:r>
            <w:r>
              <w:rPr>
                <w:rFonts w:ascii="Arial" w:eastAsia="Times New Roman" w:hAnsi="Arial" w:cs="Arial"/>
                <w:sz w:val="20"/>
                <w:szCs w:val="20"/>
                <w:lang w:eastAsia="es-CR"/>
              </w:rPr>
              <w:t>.</w:t>
            </w:r>
          </w:p>
        </w:tc>
      </w:tr>
      <w:tr w:rsidR="00356493" w:rsidRPr="00BB53C0" w14:paraId="6774DDB8" w14:textId="77777777" w:rsidTr="00356493">
        <w:trPr>
          <w:trHeight w:val="1860"/>
        </w:trPr>
        <w:tc>
          <w:tcPr>
            <w:tcW w:w="1520" w:type="dxa"/>
            <w:shd w:val="clear" w:color="auto" w:fill="auto"/>
            <w:vAlign w:val="center"/>
            <w:hideMark/>
          </w:tcPr>
          <w:p w14:paraId="41BBA6F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083-2020</w:t>
            </w:r>
          </w:p>
        </w:tc>
        <w:tc>
          <w:tcPr>
            <w:tcW w:w="8114" w:type="dxa"/>
            <w:shd w:val="clear" w:color="auto" w:fill="auto"/>
            <w:hideMark/>
          </w:tcPr>
          <w:p w14:paraId="570149B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del señor Danny Durán Cerdas de fecha 11 de mayo del 2020, mediante el cual solicita autorización para realizar vista oral, por medio de la plataforma MS Teams</w:t>
            </w:r>
            <w:r>
              <w:rPr>
                <w:rFonts w:ascii="Arial" w:eastAsia="Times New Roman" w:hAnsi="Arial" w:cs="Arial"/>
                <w:sz w:val="20"/>
                <w:szCs w:val="20"/>
                <w:lang w:eastAsia="es-CR"/>
              </w:rPr>
              <w:t>.</w:t>
            </w:r>
          </w:p>
        </w:tc>
      </w:tr>
      <w:tr w:rsidR="00356493" w:rsidRPr="00BB53C0" w14:paraId="74A2D13A" w14:textId="77777777" w:rsidTr="00356493">
        <w:trPr>
          <w:trHeight w:val="1860"/>
        </w:trPr>
        <w:tc>
          <w:tcPr>
            <w:tcW w:w="1520" w:type="dxa"/>
            <w:shd w:val="clear" w:color="auto" w:fill="auto"/>
            <w:vAlign w:val="center"/>
            <w:hideMark/>
          </w:tcPr>
          <w:p w14:paraId="096AD48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084-2020</w:t>
            </w:r>
          </w:p>
        </w:tc>
        <w:tc>
          <w:tcPr>
            <w:tcW w:w="8114" w:type="dxa"/>
            <w:shd w:val="clear" w:color="auto" w:fill="auto"/>
            <w:hideMark/>
          </w:tcPr>
          <w:p w14:paraId="626916F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4363-2020 del Consejo Superior, remitiendo acuerdo de sesión 43-2020 del 5 de mayo del 2020, artículo LXII, donde se atendió el oficio 32-Mag.2.SCP-2020, relativo a la modificación del acuerdo del Consejo Superior en el artículo I, punto 2.2.1.6.3, publicado en la circular 66-2020. </w:t>
            </w:r>
          </w:p>
        </w:tc>
      </w:tr>
      <w:tr w:rsidR="00356493" w:rsidRPr="00BB53C0" w14:paraId="63185978" w14:textId="77777777" w:rsidTr="00356493">
        <w:trPr>
          <w:trHeight w:val="1860"/>
        </w:trPr>
        <w:tc>
          <w:tcPr>
            <w:tcW w:w="1520" w:type="dxa"/>
            <w:shd w:val="clear" w:color="auto" w:fill="auto"/>
            <w:vAlign w:val="center"/>
            <w:hideMark/>
          </w:tcPr>
          <w:p w14:paraId="2541938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085-2020</w:t>
            </w:r>
          </w:p>
        </w:tc>
        <w:tc>
          <w:tcPr>
            <w:tcW w:w="8114" w:type="dxa"/>
            <w:shd w:val="clear" w:color="auto" w:fill="auto"/>
            <w:hideMark/>
          </w:tcPr>
          <w:p w14:paraId="5FC6A79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4346-2020 del Consejo Superior, mediante el cual remite el acuerdo del 21 de abril del 2020, de sesión 39-2020, artículo XXI, relativo al oficio 424-56-SAO-2020 del estudio "Evaluación operativa en la fiscalía adjunta de ejecución de la pena"</w:t>
            </w:r>
            <w:r>
              <w:rPr>
                <w:rFonts w:ascii="Arial" w:eastAsia="Times New Roman" w:hAnsi="Arial" w:cs="Arial"/>
                <w:sz w:val="20"/>
                <w:szCs w:val="20"/>
                <w:lang w:eastAsia="es-CR"/>
              </w:rPr>
              <w:t>.</w:t>
            </w:r>
          </w:p>
        </w:tc>
      </w:tr>
      <w:tr w:rsidR="00356493" w:rsidRPr="00BB53C0" w14:paraId="73CB842F" w14:textId="77777777" w:rsidTr="00356493">
        <w:trPr>
          <w:trHeight w:val="1860"/>
        </w:trPr>
        <w:tc>
          <w:tcPr>
            <w:tcW w:w="1520" w:type="dxa"/>
            <w:shd w:val="clear" w:color="auto" w:fill="auto"/>
            <w:vAlign w:val="center"/>
            <w:hideMark/>
          </w:tcPr>
          <w:p w14:paraId="382D35F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086-2020</w:t>
            </w:r>
          </w:p>
        </w:tc>
        <w:tc>
          <w:tcPr>
            <w:tcW w:w="8114" w:type="dxa"/>
            <w:shd w:val="clear" w:color="auto" w:fill="auto"/>
            <w:hideMark/>
          </w:tcPr>
          <w:p w14:paraId="397C621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la señora Catalina Espinoza Sáenz de la Escuela Judicial, de fecha 11 de mayo del 2020, mediante el cual nos remite la propuesta de evaluación para materia penal, para que se revise y se realicen observaciones o una propuesta</w:t>
            </w:r>
            <w:r>
              <w:rPr>
                <w:rFonts w:ascii="Arial" w:eastAsia="Times New Roman" w:hAnsi="Arial" w:cs="Arial"/>
                <w:sz w:val="20"/>
                <w:szCs w:val="20"/>
                <w:lang w:eastAsia="es-CR"/>
              </w:rPr>
              <w:t>.</w:t>
            </w:r>
          </w:p>
        </w:tc>
      </w:tr>
      <w:tr w:rsidR="00356493" w:rsidRPr="00BB53C0" w14:paraId="1E51C11A" w14:textId="77777777" w:rsidTr="00356493">
        <w:trPr>
          <w:trHeight w:val="1860"/>
        </w:trPr>
        <w:tc>
          <w:tcPr>
            <w:tcW w:w="1520" w:type="dxa"/>
            <w:shd w:val="clear" w:color="auto" w:fill="auto"/>
            <w:vAlign w:val="center"/>
            <w:hideMark/>
          </w:tcPr>
          <w:p w14:paraId="619B06F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087-2020</w:t>
            </w:r>
          </w:p>
        </w:tc>
        <w:tc>
          <w:tcPr>
            <w:tcW w:w="8114" w:type="dxa"/>
            <w:shd w:val="clear" w:color="auto" w:fill="auto"/>
            <w:hideMark/>
          </w:tcPr>
          <w:p w14:paraId="13682B4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4389-20 del Consejo Superior, comunicando acuerdo de sesión 41-2020 del 28 de abril del 2020, artículo XXXII, relativo al oficio 547-PLA-OI-2020 y 285-PLA-OI-2020, del rediseño del proceso penal en la sección de Flagrancia de Liberia, atendido por la Comisión mediante oficio CJP066-2020. </w:t>
            </w:r>
          </w:p>
        </w:tc>
      </w:tr>
      <w:tr w:rsidR="00356493" w:rsidRPr="00BB53C0" w14:paraId="44FB07D6" w14:textId="77777777" w:rsidTr="00356493">
        <w:trPr>
          <w:trHeight w:val="1860"/>
        </w:trPr>
        <w:tc>
          <w:tcPr>
            <w:tcW w:w="1520" w:type="dxa"/>
            <w:shd w:val="clear" w:color="auto" w:fill="auto"/>
            <w:vAlign w:val="center"/>
            <w:hideMark/>
          </w:tcPr>
          <w:p w14:paraId="4169C8A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088-2020</w:t>
            </w:r>
          </w:p>
        </w:tc>
        <w:tc>
          <w:tcPr>
            <w:tcW w:w="8114" w:type="dxa"/>
            <w:shd w:val="clear" w:color="auto" w:fill="auto"/>
            <w:hideMark/>
          </w:tcPr>
          <w:p w14:paraId="1243901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4520-2020 de Corte Plena, comunicando acuerdo de sesión 22-2020 del 27 de abril del 2020, artículo XVI, sobre la temática de la designación de defensores públicos en materia contravencional, atendido por la Comisión en el oficio CJP060-2020. </w:t>
            </w:r>
          </w:p>
        </w:tc>
      </w:tr>
      <w:tr w:rsidR="00356493" w:rsidRPr="00BB53C0" w14:paraId="5418072C" w14:textId="77777777" w:rsidTr="00356493">
        <w:trPr>
          <w:trHeight w:val="1860"/>
        </w:trPr>
        <w:tc>
          <w:tcPr>
            <w:tcW w:w="1520" w:type="dxa"/>
            <w:shd w:val="clear" w:color="auto" w:fill="auto"/>
            <w:vAlign w:val="center"/>
            <w:hideMark/>
          </w:tcPr>
          <w:p w14:paraId="6D687BE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089-2020</w:t>
            </w:r>
          </w:p>
        </w:tc>
        <w:tc>
          <w:tcPr>
            <w:tcW w:w="8114" w:type="dxa"/>
            <w:shd w:val="clear" w:color="auto" w:fill="auto"/>
            <w:hideMark/>
          </w:tcPr>
          <w:p w14:paraId="5C661A9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4619-2020 del Consejo Superior, remitiendo acuerdo de la sesión 36-2020, del 14 de abril del 2020, artículo IV, sobre las medidas en cuanto a la declaratoria de emergencia por motivo del Covid-19, en cuanto a la materia Penal Juvenil. Solo se le copia a la Comisión. </w:t>
            </w:r>
          </w:p>
        </w:tc>
      </w:tr>
      <w:tr w:rsidR="00356493" w:rsidRPr="00BB53C0" w14:paraId="64160781" w14:textId="77777777" w:rsidTr="00356493">
        <w:trPr>
          <w:trHeight w:val="1860"/>
        </w:trPr>
        <w:tc>
          <w:tcPr>
            <w:tcW w:w="1520" w:type="dxa"/>
            <w:shd w:val="clear" w:color="auto" w:fill="auto"/>
            <w:vAlign w:val="center"/>
            <w:hideMark/>
          </w:tcPr>
          <w:p w14:paraId="38D812C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090-2020</w:t>
            </w:r>
          </w:p>
        </w:tc>
        <w:tc>
          <w:tcPr>
            <w:tcW w:w="8114" w:type="dxa"/>
            <w:shd w:val="clear" w:color="auto" w:fill="auto"/>
            <w:hideMark/>
          </w:tcPr>
          <w:p w14:paraId="5455366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013-702-2020 de parte de la Comisión Enlace Corte-OIJ, coordinada por el magistrado Gerardo Rubén Alfaro, mediante el cual traslada al Comisión el oficio 284-DG-2020 de fecha 24 de marzo del 2020, al respecto de la realización de juicios con motivo de la declaratoria de emergencia Covid-19, y la peligrosidad y riesgo en Limón.</w:t>
            </w:r>
          </w:p>
        </w:tc>
      </w:tr>
      <w:tr w:rsidR="00356493" w:rsidRPr="00BB53C0" w14:paraId="62708BEE" w14:textId="77777777" w:rsidTr="00356493">
        <w:trPr>
          <w:trHeight w:val="1860"/>
        </w:trPr>
        <w:tc>
          <w:tcPr>
            <w:tcW w:w="1520" w:type="dxa"/>
            <w:shd w:val="clear" w:color="auto" w:fill="auto"/>
            <w:vAlign w:val="center"/>
            <w:hideMark/>
          </w:tcPr>
          <w:p w14:paraId="3C2ACF2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091-2020</w:t>
            </w:r>
          </w:p>
        </w:tc>
        <w:tc>
          <w:tcPr>
            <w:tcW w:w="8114" w:type="dxa"/>
            <w:shd w:val="clear" w:color="auto" w:fill="auto"/>
            <w:hideMark/>
          </w:tcPr>
          <w:p w14:paraId="51591B1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4605-2020 del Consejo Superior, remitiendo acuerdo de sesión 41-2020 del 28 de abril del 2020, artículo XXXIX, mediante el cual se conoció lo relativo al informe 303-PLA-ES-2020, de la Dirección de Planificación relacionado con los principales resultados obtenidos del análisis de las personas detenidas a la orden de los Juzgados y Tribunales Penales del país al finalizar el 2018. </w:t>
            </w:r>
          </w:p>
        </w:tc>
      </w:tr>
      <w:tr w:rsidR="00356493" w:rsidRPr="00BB53C0" w14:paraId="3FE0CFE3" w14:textId="77777777" w:rsidTr="00356493">
        <w:trPr>
          <w:trHeight w:val="1860"/>
        </w:trPr>
        <w:tc>
          <w:tcPr>
            <w:tcW w:w="1520" w:type="dxa"/>
            <w:shd w:val="clear" w:color="auto" w:fill="auto"/>
            <w:vAlign w:val="center"/>
            <w:hideMark/>
          </w:tcPr>
          <w:p w14:paraId="12B5161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092-2020</w:t>
            </w:r>
          </w:p>
        </w:tc>
        <w:tc>
          <w:tcPr>
            <w:tcW w:w="8114" w:type="dxa"/>
            <w:shd w:val="clear" w:color="auto" w:fill="auto"/>
            <w:hideMark/>
          </w:tcPr>
          <w:p w14:paraId="481DF22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4757-2020 de Corte Plena, mediante el cual comunico el acuerdo de sesión 27-2020 del 18 de mayo del 2020, artículo VII, mediante el cual conoció el protocolo para la realización de videoconferencias en procesos penales, remitido por la Comisión mediante oficio CJP103-2020. </w:t>
            </w:r>
          </w:p>
        </w:tc>
      </w:tr>
      <w:tr w:rsidR="00356493" w:rsidRPr="00BB53C0" w14:paraId="64F628CE" w14:textId="77777777" w:rsidTr="00356493">
        <w:trPr>
          <w:trHeight w:val="1860"/>
        </w:trPr>
        <w:tc>
          <w:tcPr>
            <w:tcW w:w="1520" w:type="dxa"/>
            <w:shd w:val="clear" w:color="auto" w:fill="auto"/>
            <w:vAlign w:val="center"/>
            <w:hideMark/>
          </w:tcPr>
          <w:p w14:paraId="2E94170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093-2020</w:t>
            </w:r>
          </w:p>
        </w:tc>
        <w:tc>
          <w:tcPr>
            <w:tcW w:w="8114" w:type="dxa"/>
            <w:shd w:val="clear" w:color="auto" w:fill="auto"/>
            <w:hideMark/>
          </w:tcPr>
          <w:p w14:paraId="0243252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4768-2020 de Corte Plena, mediante el cual comunico el acuerdo de sesión 22-2020, del 27 de abril del 2020, artículo XV, sobre la unificación de plazos para cambios de medida cautelar CJP219-2019. </w:t>
            </w:r>
          </w:p>
        </w:tc>
      </w:tr>
      <w:tr w:rsidR="00356493" w:rsidRPr="00BB53C0" w14:paraId="4BF79767" w14:textId="77777777" w:rsidTr="00356493">
        <w:trPr>
          <w:trHeight w:val="1860"/>
        </w:trPr>
        <w:tc>
          <w:tcPr>
            <w:tcW w:w="1520" w:type="dxa"/>
            <w:shd w:val="clear" w:color="auto" w:fill="auto"/>
            <w:vAlign w:val="center"/>
            <w:hideMark/>
          </w:tcPr>
          <w:p w14:paraId="5288518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094-2020</w:t>
            </w:r>
          </w:p>
        </w:tc>
        <w:tc>
          <w:tcPr>
            <w:tcW w:w="8114" w:type="dxa"/>
            <w:shd w:val="clear" w:color="auto" w:fill="auto"/>
            <w:hideMark/>
          </w:tcPr>
          <w:p w14:paraId="52ACD86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CACC-222-2020, de la Comisión de Acceso a la Justicia, mediante el cual nos remiten el acuerdo de la Subcomisión de Acceso a la Justicia de Pueblos Indígenas del 8 de mayo del 2020, en atención al oficio 825-DG-2019 del OIJ, sobre la administración de riesgos expuestos en la materia penal. </w:t>
            </w:r>
          </w:p>
        </w:tc>
      </w:tr>
      <w:tr w:rsidR="00356493" w:rsidRPr="00BB53C0" w14:paraId="4C57F578" w14:textId="77777777" w:rsidTr="00356493">
        <w:trPr>
          <w:trHeight w:val="1860"/>
        </w:trPr>
        <w:tc>
          <w:tcPr>
            <w:tcW w:w="1520" w:type="dxa"/>
            <w:shd w:val="clear" w:color="auto" w:fill="auto"/>
            <w:vAlign w:val="center"/>
            <w:hideMark/>
          </w:tcPr>
          <w:p w14:paraId="7478210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095-2020</w:t>
            </w:r>
          </w:p>
        </w:tc>
        <w:tc>
          <w:tcPr>
            <w:tcW w:w="8114" w:type="dxa"/>
            <w:shd w:val="clear" w:color="auto" w:fill="auto"/>
            <w:hideMark/>
          </w:tcPr>
          <w:p w14:paraId="3F982F3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4884-20 del Consejo Superior, remitiendo acuerdo de sesión 51-2020, del 21 de mayo del 2020, artículo LXVII; mediante el cual se conoció los oficios 138-CACMCJ-JEF-2020, 735-PLA-2020, 1787-DE-2020, sobre la situación de emergencia sanitaria provocada por el Covid-19. </w:t>
            </w:r>
          </w:p>
        </w:tc>
      </w:tr>
      <w:tr w:rsidR="00356493" w:rsidRPr="00BB53C0" w14:paraId="2C311155" w14:textId="77777777" w:rsidTr="00356493">
        <w:trPr>
          <w:trHeight w:val="1860"/>
        </w:trPr>
        <w:tc>
          <w:tcPr>
            <w:tcW w:w="1520" w:type="dxa"/>
            <w:shd w:val="clear" w:color="auto" w:fill="auto"/>
            <w:vAlign w:val="center"/>
            <w:hideMark/>
          </w:tcPr>
          <w:p w14:paraId="6570E80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096-2020</w:t>
            </w:r>
          </w:p>
        </w:tc>
        <w:tc>
          <w:tcPr>
            <w:tcW w:w="8114" w:type="dxa"/>
            <w:shd w:val="clear" w:color="auto" w:fill="auto"/>
            <w:hideMark/>
          </w:tcPr>
          <w:p w14:paraId="3782B39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4865-2020 del Consejo Superior, mediante el cual nos comunican el acuerdo de sesión 43-2020 del 05 de mayo del 2020, artículo XIV, al respecto de las acciones para la continuidad de las audiencias penales por motivo del Covid-19. </w:t>
            </w:r>
          </w:p>
        </w:tc>
      </w:tr>
      <w:tr w:rsidR="00356493" w:rsidRPr="00BB53C0" w14:paraId="089D68EF" w14:textId="77777777" w:rsidTr="00356493">
        <w:trPr>
          <w:trHeight w:val="1860"/>
        </w:trPr>
        <w:tc>
          <w:tcPr>
            <w:tcW w:w="1520" w:type="dxa"/>
            <w:shd w:val="clear" w:color="auto" w:fill="auto"/>
            <w:vAlign w:val="center"/>
            <w:hideMark/>
          </w:tcPr>
          <w:p w14:paraId="7172C36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097-2020</w:t>
            </w:r>
          </w:p>
        </w:tc>
        <w:tc>
          <w:tcPr>
            <w:tcW w:w="8114" w:type="dxa"/>
            <w:shd w:val="clear" w:color="auto" w:fill="auto"/>
            <w:hideMark/>
          </w:tcPr>
          <w:p w14:paraId="5ABFBC0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4945-2020 del Consejo Superior, mediante el cual nos comunican el acuerdo de sesión 48-2020 del 14 de mayo del 2020, artículo V, mediante el cual comunican el acuerdo de esperar la respuesta de la Comisión en la implementación de Teams en los Juzgados de Ejecución de la Pena. </w:t>
            </w:r>
          </w:p>
        </w:tc>
      </w:tr>
      <w:tr w:rsidR="00356493" w:rsidRPr="00BB53C0" w14:paraId="5065DB21" w14:textId="77777777" w:rsidTr="00356493">
        <w:trPr>
          <w:trHeight w:val="1860"/>
        </w:trPr>
        <w:tc>
          <w:tcPr>
            <w:tcW w:w="1520" w:type="dxa"/>
            <w:shd w:val="clear" w:color="auto" w:fill="auto"/>
            <w:vAlign w:val="center"/>
            <w:hideMark/>
          </w:tcPr>
          <w:p w14:paraId="19CF4D2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098-2020</w:t>
            </w:r>
          </w:p>
        </w:tc>
        <w:tc>
          <w:tcPr>
            <w:tcW w:w="8114" w:type="dxa"/>
            <w:shd w:val="clear" w:color="auto" w:fill="auto"/>
            <w:hideMark/>
          </w:tcPr>
          <w:p w14:paraId="40CE963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4900-2020 del Consejo Superior, mediante el cual nos remiten el acuerdo de sesión 43-2020 del 5 de mayo del 2020, artículo LVI, donde se atendió el oficio CJP080-2020 de los resultados obtenidos del análisis de las personas sentenciadas en los Tribunales Penales durante el 2018. </w:t>
            </w:r>
          </w:p>
        </w:tc>
      </w:tr>
      <w:tr w:rsidR="00356493" w:rsidRPr="00BB53C0" w14:paraId="0409046A" w14:textId="77777777" w:rsidTr="00356493">
        <w:trPr>
          <w:trHeight w:val="1860"/>
        </w:trPr>
        <w:tc>
          <w:tcPr>
            <w:tcW w:w="1520" w:type="dxa"/>
            <w:shd w:val="clear" w:color="auto" w:fill="auto"/>
            <w:vAlign w:val="center"/>
            <w:hideMark/>
          </w:tcPr>
          <w:p w14:paraId="6E94535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099-2020</w:t>
            </w:r>
          </w:p>
        </w:tc>
        <w:tc>
          <w:tcPr>
            <w:tcW w:w="8114" w:type="dxa"/>
            <w:shd w:val="clear" w:color="auto" w:fill="auto"/>
            <w:hideMark/>
          </w:tcPr>
          <w:p w14:paraId="4B4DD59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PJ-DGH-SGD-052-2020 de la Dirección de Gestión Humana, mediante el cual remite la propuesta de Circular, al respecto de la Ley 9635, donde solicita el visto bueno de la Comisión, en el tema de Gestión de Desempeño. </w:t>
            </w:r>
          </w:p>
        </w:tc>
      </w:tr>
      <w:tr w:rsidR="00356493" w:rsidRPr="00BB53C0" w14:paraId="7E263907" w14:textId="77777777" w:rsidTr="00356493">
        <w:trPr>
          <w:trHeight w:val="1860"/>
        </w:trPr>
        <w:tc>
          <w:tcPr>
            <w:tcW w:w="1520" w:type="dxa"/>
            <w:shd w:val="clear" w:color="auto" w:fill="auto"/>
            <w:vAlign w:val="center"/>
            <w:hideMark/>
          </w:tcPr>
          <w:p w14:paraId="68FB0D3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100-2020</w:t>
            </w:r>
          </w:p>
        </w:tc>
        <w:tc>
          <w:tcPr>
            <w:tcW w:w="8114" w:type="dxa"/>
            <w:shd w:val="clear" w:color="auto" w:fill="auto"/>
            <w:hideMark/>
          </w:tcPr>
          <w:p w14:paraId="023674A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4960-2020 del Consejo Superior, comunicando acuerdo de sesión 43-2020 del 5 de mayo del 2020, artículo XXXVII, sobre el oficio CJP079-2020. </w:t>
            </w:r>
          </w:p>
        </w:tc>
      </w:tr>
      <w:tr w:rsidR="00356493" w:rsidRPr="00BB53C0" w14:paraId="5B00F893" w14:textId="77777777" w:rsidTr="00356493">
        <w:trPr>
          <w:trHeight w:val="1860"/>
        </w:trPr>
        <w:tc>
          <w:tcPr>
            <w:tcW w:w="1520" w:type="dxa"/>
            <w:shd w:val="clear" w:color="auto" w:fill="auto"/>
            <w:vAlign w:val="center"/>
            <w:hideMark/>
          </w:tcPr>
          <w:p w14:paraId="1B66C63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101-2020</w:t>
            </w:r>
          </w:p>
        </w:tc>
        <w:tc>
          <w:tcPr>
            <w:tcW w:w="8114" w:type="dxa"/>
            <w:shd w:val="clear" w:color="auto" w:fill="auto"/>
            <w:hideMark/>
          </w:tcPr>
          <w:p w14:paraId="50D01D4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señora María Jiménez Soto, de fecha 28 de mayo del 2020, mediante el cual solicita a la comisión el procedimiento a seguir por la judicatura al generarse una actualización o reafirmación de la citada documentación (estudio operativo de la Auditoría al Juzgado Penal del de San José.) en momento de realizar la orden de captura por el OIJ. </w:t>
            </w:r>
          </w:p>
        </w:tc>
      </w:tr>
      <w:tr w:rsidR="00356493" w:rsidRPr="00BB53C0" w14:paraId="4B718B7F" w14:textId="77777777" w:rsidTr="00356493">
        <w:trPr>
          <w:trHeight w:val="1860"/>
        </w:trPr>
        <w:tc>
          <w:tcPr>
            <w:tcW w:w="1520" w:type="dxa"/>
            <w:shd w:val="clear" w:color="auto" w:fill="auto"/>
            <w:vAlign w:val="center"/>
            <w:hideMark/>
          </w:tcPr>
          <w:p w14:paraId="4F4D04E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102-2020</w:t>
            </w:r>
          </w:p>
        </w:tc>
        <w:tc>
          <w:tcPr>
            <w:tcW w:w="8114" w:type="dxa"/>
            <w:shd w:val="clear" w:color="auto" w:fill="auto"/>
            <w:hideMark/>
          </w:tcPr>
          <w:p w14:paraId="58C2FD0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5088-2020 del Consejo Superior, mediante el cual nos remiten el acuerdo de sesión 52-2020 del 26 de mayo del 2020, artículo LIX, sobre el oficio 36-mag.2 SCP-2020, sobre principales acciones de seguimiento por el Covid-19. </w:t>
            </w:r>
          </w:p>
        </w:tc>
      </w:tr>
      <w:tr w:rsidR="00356493" w:rsidRPr="00BB53C0" w14:paraId="131D00D0" w14:textId="77777777" w:rsidTr="00356493">
        <w:trPr>
          <w:trHeight w:val="1860"/>
        </w:trPr>
        <w:tc>
          <w:tcPr>
            <w:tcW w:w="1520" w:type="dxa"/>
            <w:shd w:val="clear" w:color="auto" w:fill="auto"/>
            <w:vAlign w:val="center"/>
            <w:hideMark/>
          </w:tcPr>
          <w:p w14:paraId="5E01697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103-2020</w:t>
            </w:r>
          </w:p>
        </w:tc>
        <w:tc>
          <w:tcPr>
            <w:tcW w:w="8114" w:type="dxa"/>
            <w:shd w:val="clear" w:color="auto" w:fill="auto"/>
            <w:hideMark/>
          </w:tcPr>
          <w:p w14:paraId="7736F9E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5091-2020 de Corte Plena, comunicando acuerdo de sesión 25-2020 del 11 de mayo del 2020, artículo VI, sobre el tema de conocimiento de la realización de videoconferencias en materia penal y el criterio rendido por la Comisión CJP103-2020. </w:t>
            </w:r>
          </w:p>
        </w:tc>
      </w:tr>
      <w:tr w:rsidR="00356493" w:rsidRPr="00BB53C0" w14:paraId="1D76B0A9" w14:textId="77777777" w:rsidTr="00356493">
        <w:trPr>
          <w:trHeight w:val="1860"/>
        </w:trPr>
        <w:tc>
          <w:tcPr>
            <w:tcW w:w="1520" w:type="dxa"/>
            <w:shd w:val="clear" w:color="auto" w:fill="auto"/>
            <w:vAlign w:val="center"/>
            <w:hideMark/>
          </w:tcPr>
          <w:p w14:paraId="5AB4D78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104-2020</w:t>
            </w:r>
          </w:p>
        </w:tc>
        <w:tc>
          <w:tcPr>
            <w:tcW w:w="8114" w:type="dxa"/>
            <w:shd w:val="clear" w:color="auto" w:fill="auto"/>
            <w:hideMark/>
          </w:tcPr>
          <w:p w14:paraId="66BDE13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señora Cinthia Sáenz Valerio, de fecha 1 de junio del 2020, mediante el cual solicita a la comisión una solución integral al respecto de procesos contravencionales señalados y próximos a prescribir. </w:t>
            </w:r>
          </w:p>
        </w:tc>
      </w:tr>
      <w:tr w:rsidR="00356493" w:rsidRPr="00BB53C0" w14:paraId="0573A6B2" w14:textId="77777777" w:rsidTr="00356493">
        <w:trPr>
          <w:trHeight w:val="1860"/>
        </w:trPr>
        <w:tc>
          <w:tcPr>
            <w:tcW w:w="1520" w:type="dxa"/>
            <w:shd w:val="clear" w:color="auto" w:fill="auto"/>
            <w:vAlign w:val="center"/>
            <w:hideMark/>
          </w:tcPr>
          <w:p w14:paraId="6D64128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105-2020</w:t>
            </w:r>
          </w:p>
        </w:tc>
        <w:tc>
          <w:tcPr>
            <w:tcW w:w="8114" w:type="dxa"/>
            <w:shd w:val="clear" w:color="auto" w:fill="auto"/>
            <w:hideMark/>
          </w:tcPr>
          <w:p w14:paraId="33274AF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059-S-2020 de SITRAJUD, mediante el cual consultan a la Comisión al respecto del acuerdo de Consejo Superior N° 109-19 del 17 de diciembre del 2019, artículo XXVIII, sobre el pronunciamiento de la Comisión sobre ese tema.</w:t>
            </w:r>
          </w:p>
        </w:tc>
      </w:tr>
      <w:tr w:rsidR="00356493" w:rsidRPr="00BB53C0" w14:paraId="55780622" w14:textId="77777777" w:rsidTr="00356493">
        <w:trPr>
          <w:trHeight w:val="1860"/>
        </w:trPr>
        <w:tc>
          <w:tcPr>
            <w:tcW w:w="1520" w:type="dxa"/>
            <w:shd w:val="clear" w:color="auto" w:fill="auto"/>
            <w:vAlign w:val="center"/>
            <w:hideMark/>
          </w:tcPr>
          <w:p w14:paraId="40CEC0A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106-2020</w:t>
            </w:r>
          </w:p>
        </w:tc>
        <w:tc>
          <w:tcPr>
            <w:tcW w:w="8114" w:type="dxa"/>
            <w:shd w:val="clear" w:color="auto" w:fill="auto"/>
            <w:hideMark/>
          </w:tcPr>
          <w:p w14:paraId="56C16CC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996-DTI-2020 de la Dirección de Tecnología de la Información al respecto del acuerdo de sesión 27-2020 de Corte Plena, artículo VII, sobre el protocolo para la realización de videoconferencias en procesos penales. </w:t>
            </w:r>
          </w:p>
        </w:tc>
      </w:tr>
      <w:tr w:rsidR="00356493" w:rsidRPr="00BB53C0" w14:paraId="7FB82A5F" w14:textId="77777777" w:rsidTr="00356493">
        <w:trPr>
          <w:trHeight w:val="1860"/>
        </w:trPr>
        <w:tc>
          <w:tcPr>
            <w:tcW w:w="1520" w:type="dxa"/>
            <w:shd w:val="clear" w:color="auto" w:fill="auto"/>
            <w:vAlign w:val="center"/>
            <w:hideMark/>
          </w:tcPr>
          <w:p w14:paraId="7890246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107-2020</w:t>
            </w:r>
          </w:p>
        </w:tc>
        <w:tc>
          <w:tcPr>
            <w:tcW w:w="8114" w:type="dxa"/>
            <w:shd w:val="clear" w:color="auto" w:fill="auto"/>
            <w:hideMark/>
          </w:tcPr>
          <w:p w14:paraId="4CD0C23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señora Nuria Villalobos Solano, de fecha 08 de junio del 2020, mediante el cual presente la consulta a la Comisión, sobre pronunciamiento en cuanto al archivo judicial proceda a recibir el remesado de cientos de expedientes archivados en el Tribunal Penal del Primer Circuito Judicial de San José. </w:t>
            </w:r>
          </w:p>
        </w:tc>
      </w:tr>
      <w:tr w:rsidR="00356493" w:rsidRPr="00BB53C0" w14:paraId="01B8C148" w14:textId="77777777" w:rsidTr="00356493">
        <w:trPr>
          <w:trHeight w:val="1860"/>
        </w:trPr>
        <w:tc>
          <w:tcPr>
            <w:tcW w:w="1520" w:type="dxa"/>
            <w:shd w:val="clear" w:color="auto" w:fill="auto"/>
            <w:vAlign w:val="center"/>
            <w:hideMark/>
          </w:tcPr>
          <w:p w14:paraId="573E6FA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108-2020</w:t>
            </w:r>
          </w:p>
        </w:tc>
        <w:tc>
          <w:tcPr>
            <w:tcW w:w="8114" w:type="dxa"/>
            <w:shd w:val="clear" w:color="auto" w:fill="auto"/>
            <w:hideMark/>
          </w:tcPr>
          <w:p w14:paraId="114E3E4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licenciada Jeannette Mena Rodríguez, de fecha 08-06-2020, mediante el cual traslada solicitud de criterio de la Comisión, sobre dejar sin efecto juicios por aumentos de Covid-19. </w:t>
            </w:r>
          </w:p>
        </w:tc>
      </w:tr>
      <w:tr w:rsidR="00356493" w:rsidRPr="00BB53C0" w14:paraId="539EE5F8" w14:textId="77777777" w:rsidTr="00356493">
        <w:trPr>
          <w:trHeight w:val="1860"/>
        </w:trPr>
        <w:tc>
          <w:tcPr>
            <w:tcW w:w="1520" w:type="dxa"/>
            <w:shd w:val="clear" w:color="auto" w:fill="auto"/>
            <w:vAlign w:val="center"/>
            <w:hideMark/>
          </w:tcPr>
          <w:p w14:paraId="27DB883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109-2020</w:t>
            </w:r>
          </w:p>
        </w:tc>
        <w:tc>
          <w:tcPr>
            <w:tcW w:w="8114" w:type="dxa"/>
            <w:shd w:val="clear" w:color="auto" w:fill="auto"/>
            <w:hideMark/>
          </w:tcPr>
          <w:p w14:paraId="2C04EA5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la señora Ivette Carranza, de fecha 10 de junio del año en curso, mediante el cual consulta la posibilidad de que los jueces al momento del juicio se encuentran enlazados virtualmente en diferentes lugares</w:t>
            </w:r>
            <w:r>
              <w:rPr>
                <w:rFonts w:ascii="Arial" w:eastAsia="Times New Roman" w:hAnsi="Arial" w:cs="Arial"/>
                <w:sz w:val="20"/>
                <w:szCs w:val="20"/>
                <w:lang w:eastAsia="es-CR"/>
              </w:rPr>
              <w:t>.</w:t>
            </w:r>
          </w:p>
        </w:tc>
      </w:tr>
      <w:tr w:rsidR="00356493" w:rsidRPr="00BB53C0" w14:paraId="2794F83F" w14:textId="77777777" w:rsidTr="00356493">
        <w:trPr>
          <w:trHeight w:val="1860"/>
        </w:trPr>
        <w:tc>
          <w:tcPr>
            <w:tcW w:w="1520" w:type="dxa"/>
            <w:shd w:val="clear" w:color="auto" w:fill="auto"/>
            <w:vAlign w:val="center"/>
            <w:hideMark/>
          </w:tcPr>
          <w:p w14:paraId="11E9372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110-2020</w:t>
            </w:r>
          </w:p>
        </w:tc>
        <w:tc>
          <w:tcPr>
            <w:tcW w:w="8114" w:type="dxa"/>
            <w:shd w:val="clear" w:color="auto" w:fill="auto"/>
            <w:hideMark/>
          </w:tcPr>
          <w:p w14:paraId="3AF6C29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5417-20 del consejo Superior, remitiendo acuerdo de sesión 56-2020 del 09 de junio del 2020, artículo LXXXI, donde se conoció el oficio 041-Mag2.SCP-2020, sobre la atención de la alerta naranja por Covid-19</w:t>
            </w:r>
            <w:r>
              <w:rPr>
                <w:rFonts w:ascii="Arial" w:eastAsia="Times New Roman" w:hAnsi="Arial" w:cs="Arial"/>
                <w:sz w:val="20"/>
                <w:szCs w:val="20"/>
                <w:lang w:eastAsia="es-CR"/>
              </w:rPr>
              <w:t>.</w:t>
            </w:r>
          </w:p>
        </w:tc>
      </w:tr>
      <w:tr w:rsidR="00356493" w:rsidRPr="00BB53C0" w14:paraId="5A8F5175" w14:textId="77777777" w:rsidTr="00356493">
        <w:trPr>
          <w:trHeight w:val="1860"/>
        </w:trPr>
        <w:tc>
          <w:tcPr>
            <w:tcW w:w="1520" w:type="dxa"/>
            <w:shd w:val="clear" w:color="auto" w:fill="auto"/>
            <w:vAlign w:val="center"/>
            <w:hideMark/>
          </w:tcPr>
          <w:p w14:paraId="1904625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111-2020</w:t>
            </w:r>
          </w:p>
        </w:tc>
        <w:tc>
          <w:tcPr>
            <w:tcW w:w="8114" w:type="dxa"/>
            <w:shd w:val="clear" w:color="auto" w:fill="auto"/>
            <w:hideMark/>
          </w:tcPr>
          <w:p w14:paraId="583DEBE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184-CACMFJ-JEF-2020 / 875-PLA-2020, de la Dirección de Planificación, mediante el cual remiten a Corte Plena, un informe detallado con todas las acciones realizadas por motivo de la declar</w:t>
            </w:r>
            <w:r>
              <w:rPr>
                <w:rFonts w:ascii="Arial" w:eastAsia="Times New Roman" w:hAnsi="Arial" w:cs="Arial"/>
                <w:sz w:val="20"/>
                <w:szCs w:val="20"/>
                <w:lang w:eastAsia="es-CR"/>
              </w:rPr>
              <w:t>a</w:t>
            </w:r>
            <w:r w:rsidRPr="00BB53C0">
              <w:rPr>
                <w:rFonts w:ascii="Arial" w:eastAsia="Times New Roman" w:hAnsi="Arial" w:cs="Arial"/>
                <w:sz w:val="20"/>
                <w:szCs w:val="20"/>
                <w:lang w:eastAsia="es-CR"/>
              </w:rPr>
              <w:t>toria de emergencia nacional por motivo del Covid-19, solamente se le copia a la Comisión.</w:t>
            </w:r>
          </w:p>
        </w:tc>
      </w:tr>
      <w:tr w:rsidR="00356493" w:rsidRPr="00BB53C0" w14:paraId="2958A4AB" w14:textId="77777777" w:rsidTr="00356493">
        <w:trPr>
          <w:trHeight w:val="1860"/>
        </w:trPr>
        <w:tc>
          <w:tcPr>
            <w:tcW w:w="1520" w:type="dxa"/>
            <w:shd w:val="clear" w:color="auto" w:fill="auto"/>
            <w:vAlign w:val="center"/>
            <w:hideMark/>
          </w:tcPr>
          <w:p w14:paraId="4734E83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112-2020</w:t>
            </w:r>
          </w:p>
        </w:tc>
        <w:tc>
          <w:tcPr>
            <w:tcW w:w="8114" w:type="dxa"/>
            <w:shd w:val="clear" w:color="auto" w:fill="auto"/>
            <w:hideMark/>
          </w:tcPr>
          <w:p w14:paraId="53BD89B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473-DG-2020/ Ref. 600-2020 de la Dirección General del Organismo de Investigación Judicial, consultando a la Comisión voto 2020-10147 de la Sala Constitucional, sobre el riesgo de contagio por enfermedad de Covid-19, por el traslado de las personas de libertado. </w:t>
            </w:r>
          </w:p>
        </w:tc>
      </w:tr>
      <w:tr w:rsidR="00356493" w:rsidRPr="00BB53C0" w14:paraId="3BF34E6A" w14:textId="77777777" w:rsidTr="00356493">
        <w:trPr>
          <w:trHeight w:val="1860"/>
        </w:trPr>
        <w:tc>
          <w:tcPr>
            <w:tcW w:w="1520" w:type="dxa"/>
            <w:shd w:val="clear" w:color="auto" w:fill="auto"/>
            <w:vAlign w:val="center"/>
            <w:hideMark/>
          </w:tcPr>
          <w:p w14:paraId="48B20BA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113-2020</w:t>
            </w:r>
          </w:p>
        </w:tc>
        <w:tc>
          <w:tcPr>
            <w:tcW w:w="8114" w:type="dxa"/>
            <w:shd w:val="clear" w:color="auto" w:fill="auto"/>
            <w:hideMark/>
          </w:tcPr>
          <w:p w14:paraId="71754C0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5692-2020 del Consejo Superior, comunicando acuerdo de sesión 52-2020 del 26 de mayo del 2020, artículo XXX, sobre el oficio 006-SPJ-2020 de la Sub Comisión Penal Juvenil, sobre el plan de abordaje respectivo en razón del Covid-19, en la materia Penal Juvenil. </w:t>
            </w:r>
          </w:p>
        </w:tc>
      </w:tr>
      <w:tr w:rsidR="00356493" w:rsidRPr="00BB53C0" w14:paraId="77D2436D" w14:textId="77777777" w:rsidTr="00356493">
        <w:trPr>
          <w:trHeight w:val="1860"/>
        </w:trPr>
        <w:tc>
          <w:tcPr>
            <w:tcW w:w="1520" w:type="dxa"/>
            <w:shd w:val="clear" w:color="auto" w:fill="auto"/>
            <w:vAlign w:val="center"/>
            <w:hideMark/>
          </w:tcPr>
          <w:p w14:paraId="0013FB4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114-2020</w:t>
            </w:r>
          </w:p>
        </w:tc>
        <w:tc>
          <w:tcPr>
            <w:tcW w:w="8114" w:type="dxa"/>
            <w:shd w:val="clear" w:color="auto" w:fill="auto"/>
            <w:hideMark/>
          </w:tcPr>
          <w:p w14:paraId="199B59D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5839-2020 del Consejo Superior, comunicando el acuerdo de sesión 52-2020 del 26 de mayo del 2020, artículo XLI, sobre el oficio 946-PLA-2018 y 558-PLA-ES-2020, sobre los movimientos de trabajo ocurridos en el Programa de Justicia Restaurativa del Poder Judicial, durante el 2017. </w:t>
            </w:r>
          </w:p>
        </w:tc>
      </w:tr>
      <w:tr w:rsidR="00356493" w:rsidRPr="00BB53C0" w14:paraId="2582D8B2" w14:textId="77777777" w:rsidTr="00356493">
        <w:trPr>
          <w:trHeight w:val="1860"/>
        </w:trPr>
        <w:tc>
          <w:tcPr>
            <w:tcW w:w="1520" w:type="dxa"/>
            <w:shd w:val="clear" w:color="auto" w:fill="auto"/>
            <w:vAlign w:val="center"/>
            <w:hideMark/>
          </w:tcPr>
          <w:p w14:paraId="5871AE8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115-2020</w:t>
            </w:r>
          </w:p>
        </w:tc>
        <w:tc>
          <w:tcPr>
            <w:tcW w:w="8114" w:type="dxa"/>
            <w:shd w:val="clear" w:color="auto" w:fill="auto"/>
            <w:hideMark/>
          </w:tcPr>
          <w:p w14:paraId="1C41DB3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Marco Vinicio Lizano Oviedo, de fecha 24 de junio del 2020, mediante el cual traslada inquietud de los jueces, al respecto de la circular 119-2020, sobre la "Responsabilidad de la Jueza o el Juez Coordinador del despacho, de dejar constancia al momento de realizar el remesado, de que no existen bienes decomisados o evidencias ligadas a los expedientes ni documentos de interés para las partes" </w:t>
            </w:r>
            <w:r>
              <w:rPr>
                <w:rFonts w:ascii="Arial" w:eastAsia="Times New Roman" w:hAnsi="Arial" w:cs="Arial"/>
                <w:sz w:val="20"/>
                <w:szCs w:val="20"/>
                <w:lang w:eastAsia="es-CR"/>
              </w:rPr>
              <w:t>.</w:t>
            </w:r>
          </w:p>
        </w:tc>
      </w:tr>
      <w:tr w:rsidR="00356493" w:rsidRPr="00BB53C0" w14:paraId="5217AFE4" w14:textId="77777777" w:rsidTr="00356493">
        <w:trPr>
          <w:trHeight w:val="1860"/>
        </w:trPr>
        <w:tc>
          <w:tcPr>
            <w:tcW w:w="1520" w:type="dxa"/>
            <w:shd w:val="clear" w:color="auto" w:fill="auto"/>
            <w:vAlign w:val="center"/>
            <w:hideMark/>
          </w:tcPr>
          <w:p w14:paraId="27BFDBB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116-2020</w:t>
            </w:r>
          </w:p>
        </w:tc>
        <w:tc>
          <w:tcPr>
            <w:tcW w:w="8114" w:type="dxa"/>
            <w:shd w:val="clear" w:color="auto" w:fill="auto"/>
            <w:hideMark/>
          </w:tcPr>
          <w:p w14:paraId="065DA88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5938-2020 del Consejo Superior, comunicando acuerdo de la sesión 59-2020 del 16 de junio del 2020, artículo XXIX, sobre la declaratoria de emergencia por Covid-19 en el sector de Cobano. </w:t>
            </w:r>
          </w:p>
        </w:tc>
      </w:tr>
      <w:tr w:rsidR="00356493" w:rsidRPr="00BB53C0" w14:paraId="2C5609EB" w14:textId="77777777" w:rsidTr="00356493">
        <w:trPr>
          <w:trHeight w:val="1860"/>
        </w:trPr>
        <w:tc>
          <w:tcPr>
            <w:tcW w:w="1520" w:type="dxa"/>
            <w:shd w:val="clear" w:color="auto" w:fill="auto"/>
            <w:vAlign w:val="center"/>
            <w:hideMark/>
          </w:tcPr>
          <w:p w14:paraId="71C39E0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117-2020</w:t>
            </w:r>
          </w:p>
        </w:tc>
        <w:tc>
          <w:tcPr>
            <w:tcW w:w="8114" w:type="dxa"/>
            <w:shd w:val="clear" w:color="auto" w:fill="auto"/>
            <w:hideMark/>
          </w:tcPr>
          <w:p w14:paraId="7892A1C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923-PLA-ES-2020, de la Dirección de Planificación, mediante el cual remite el informe sobre el análisis del movimiento de trabajo en los Juzgados Penales durante el 2019.</w:t>
            </w:r>
          </w:p>
        </w:tc>
      </w:tr>
      <w:tr w:rsidR="00356493" w:rsidRPr="00BB53C0" w14:paraId="4F91E39A" w14:textId="77777777" w:rsidTr="00356493">
        <w:trPr>
          <w:trHeight w:val="1860"/>
        </w:trPr>
        <w:tc>
          <w:tcPr>
            <w:tcW w:w="1520" w:type="dxa"/>
            <w:shd w:val="clear" w:color="auto" w:fill="auto"/>
            <w:vAlign w:val="center"/>
            <w:hideMark/>
          </w:tcPr>
          <w:p w14:paraId="7BC74B1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118-2020</w:t>
            </w:r>
          </w:p>
        </w:tc>
        <w:tc>
          <w:tcPr>
            <w:tcW w:w="8114" w:type="dxa"/>
            <w:shd w:val="clear" w:color="auto" w:fill="auto"/>
            <w:hideMark/>
          </w:tcPr>
          <w:p w14:paraId="2799BA6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950-PLA-2020, de la Dirección de Planificación, sobre el informe de seguimiento del oficio 493-PLA-2020, sobre la prórroga de licencias con goce de salario y sustitución en los Tribunales de Juicio que disponen de estructura mínima, ante la situación del Covid-19</w:t>
            </w:r>
            <w:r>
              <w:rPr>
                <w:rFonts w:ascii="Arial" w:eastAsia="Times New Roman" w:hAnsi="Arial" w:cs="Arial"/>
                <w:sz w:val="20"/>
                <w:szCs w:val="20"/>
                <w:lang w:eastAsia="es-CR"/>
              </w:rPr>
              <w:t>.</w:t>
            </w:r>
          </w:p>
        </w:tc>
      </w:tr>
      <w:tr w:rsidR="00356493" w:rsidRPr="00BB53C0" w14:paraId="52645F40" w14:textId="77777777" w:rsidTr="00356493">
        <w:trPr>
          <w:trHeight w:val="1860"/>
        </w:trPr>
        <w:tc>
          <w:tcPr>
            <w:tcW w:w="1520" w:type="dxa"/>
            <w:shd w:val="clear" w:color="auto" w:fill="auto"/>
            <w:vAlign w:val="center"/>
            <w:hideMark/>
          </w:tcPr>
          <w:p w14:paraId="2AD57C6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119-2020</w:t>
            </w:r>
          </w:p>
        </w:tc>
        <w:tc>
          <w:tcPr>
            <w:tcW w:w="8114" w:type="dxa"/>
            <w:shd w:val="clear" w:color="auto" w:fill="auto"/>
            <w:hideMark/>
          </w:tcPr>
          <w:p w14:paraId="5B11BBF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5967-2020 del Consejo Superior, remitiendo acuerdo de sesión 54-2020, del 02 de junio del 2020, artículo XLVII, sobre el rediseño del proceso del Tribunal Penal de Liberia, donde se conoció el oficio CJP109-2020. </w:t>
            </w:r>
          </w:p>
        </w:tc>
      </w:tr>
      <w:tr w:rsidR="00356493" w:rsidRPr="00BB53C0" w14:paraId="5A6032C4" w14:textId="77777777" w:rsidTr="00356493">
        <w:trPr>
          <w:trHeight w:val="1860"/>
        </w:trPr>
        <w:tc>
          <w:tcPr>
            <w:tcW w:w="1520" w:type="dxa"/>
            <w:shd w:val="clear" w:color="auto" w:fill="auto"/>
            <w:vAlign w:val="center"/>
            <w:hideMark/>
          </w:tcPr>
          <w:p w14:paraId="6FA6EB6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120-2020</w:t>
            </w:r>
          </w:p>
        </w:tc>
        <w:tc>
          <w:tcPr>
            <w:tcW w:w="8114" w:type="dxa"/>
            <w:shd w:val="clear" w:color="auto" w:fill="auto"/>
            <w:hideMark/>
          </w:tcPr>
          <w:p w14:paraId="71A1770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5966-2020 del Consejo Superior, de sesión 54-2020 del 02 de junio del 2020, artículo XLVI, sobre el protocolo para las audiencias virtuales comunicada mediante oficio CJP108-2020. </w:t>
            </w:r>
          </w:p>
        </w:tc>
      </w:tr>
      <w:tr w:rsidR="00356493" w:rsidRPr="00BB53C0" w14:paraId="3B578B73" w14:textId="77777777" w:rsidTr="00356493">
        <w:trPr>
          <w:trHeight w:val="1860"/>
        </w:trPr>
        <w:tc>
          <w:tcPr>
            <w:tcW w:w="1520" w:type="dxa"/>
            <w:shd w:val="clear" w:color="auto" w:fill="auto"/>
            <w:vAlign w:val="center"/>
            <w:hideMark/>
          </w:tcPr>
          <w:p w14:paraId="3788605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121-2020</w:t>
            </w:r>
          </w:p>
        </w:tc>
        <w:tc>
          <w:tcPr>
            <w:tcW w:w="8114" w:type="dxa"/>
            <w:shd w:val="clear" w:color="auto" w:fill="auto"/>
            <w:hideMark/>
          </w:tcPr>
          <w:p w14:paraId="05E4F35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5965-2020 del Consejo Superior, de sesión 54-2020, del 02 de junio del 2020, artículo XLV, sobre la situación relacionada con el Depósito de Objetos Decomisados por Juzgados Contravencionales, oficio CJP104-2020. </w:t>
            </w:r>
          </w:p>
        </w:tc>
      </w:tr>
      <w:tr w:rsidR="00356493" w:rsidRPr="00BB53C0" w14:paraId="5D74518E" w14:textId="77777777" w:rsidTr="00356493">
        <w:trPr>
          <w:trHeight w:val="1860"/>
        </w:trPr>
        <w:tc>
          <w:tcPr>
            <w:tcW w:w="1520" w:type="dxa"/>
            <w:shd w:val="clear" w:color="auto" w:fill="auto"/>
            <w:vAlign w:val="center"/>
            <w:hideMark/>
          </w:tcPr>
          <w:p w14:paraId="288D7B8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122-2020</w:t>
            </w:r>
          </w:p>
        </w:tc>
        <w:tc>
          <w:tcPr>
            <w:tcW w:w="8114" w:type="dxa"/>
            <w:shd w:val="clear" w:color="auto" w:fill="auto"/>
            <w:hideMark/>
          </w:tcPr>
          <w:p w14:paraId="56C84E6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955-PLA-PE-2020 de la Dirección de Planificación, mediante el cual nos remite el enlace para el documento relacionado con el segundo informe de seguimiento del 2020 de los proyectos incorporados al Portafolio de Proyectos Estratégicos. Adicionalmente para el caso de los proyectos en los cuales se concedieron licencias de permiso con goce de salario, según lo estipulado en el artículo 44 de la Ley Orgánica del Poder Judicial</w:t>
            </w:r>
            <w:r>
              <w:rPr>
                <w:rFonts w:ascii="Arial" w:eastAsia="Times New Roman" w:hAnsi="Arial" w:cs="Arial"/>
                <w:sz w:val="20"/>
                <w:szCs w:val="20"/>
                <w:lang w:eastAsia="es-CR"/>
              </w:rPr>
              <w:t>.</w:t>
            </w:r>
          </w:p>
        </w:tc>
      </w:tr>
      <w:tr w:rsidR="00356493" w:rsidRPr="00BB53C0" w14:paraId="4525059F" w14:textId="77777777" w:rsidTr="00356493">
        <w:trPr>
          <w:trHeight w:val="1860"/>
        </w:trPr>
        <w:tc>
          <w:tcPr>
            <w:tcW w:w="1520" w:type="dxa"/>
            <w:shd w:val="clear" w:color="auto" w:fill="auto"/>
            <w:vAlign w:val="center"/>
            <w:hideMark/>
          </w:tcPr>
          <w:p w14:paraId="52699EC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123-2020</w:t>
            </w:r>
          </w:p>
        </w:tc>
        <w:tc>
          <w:tcPr>
            <w:tcW w:w="8114" w:type="dxa"/>
            <w:shd w:val="clear" w:color="auto" w:fill="auto"/>
            <w:hideMark/>
          </w:tcPr>
          <w:p w14:paraId="38FC611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5991-20 del Consejo Superior, remitiendo acuerdo de sesión 55-2020, del 4 de junio del 2020, artículo LII, sobre oficio 521-PLA-PE-2020 sobre el informe relacionado con los resultados de la encuesta de opinión sobre el acceso a la justicia que tiene la población penal juvenil en Upala</w:t>
            </w:r>
            <w:r>
              <w:rPr>
                <w:rFonts w:ascii="Arial" w:eastAsia="Times New Roman" w:hAnsi="Arial" w:cs="Arial"/>
                <w:sz w:val="20"/>
                <w:szCs w:val="20"/>
                <w:lang w:eastAsia="es-CR"/>
              </w:rPr>
              <w:t>.</w:t>
            </w:r>
          </w:p>
        </w:tc>
      </w:tr>
      <w:tr w:rsidR="00356493" w:rsidRPr="00BB53C0" w14:paraId="4FD7D585" w14:textId="77777777" w:rsidTr="00356493">
        <w:trPr>
          <w:trHeight w:val="1860"/>
        </w:trPr>
        <w:tc>
          <w:tcPr>
            <w:tcW w:w="1520" w:type="dxa"/>
            <w:shd w:val="clear" w:color="auto" w:fill="auto"/>
            <w:vAlign w:val="center"/>
            <w:hideMark/>
          </w:tcPr>
          <w:p w14:paraId="385577E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124-2020</w:t>
            </w:r>
          </w:p>
        </w:tc>
        <w:tc>
          <w:tcPr>
            <w:tcW w:w="8114" w:type="dxa"/>
            <w:shd w:val="clear" w:color="auto" w:fill="auto"/>
            <w:hideMark/>
          </w:tcPr>
          <w:p w14:paraId="41E6D72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961-PLA-OI-2020 de la Dirección de Planificación, sobre el informe relacionado con el funcionamiento del Sistema de justicia Penal durante la atención de la emergencia nacional</w:t>
            </w:r>
            <w:r>
              <w:rPr>
                <w:rFonts w:ascii="Arial" w:eastAsia="Times New Roman" w:hAnsi="Arial" w:cs="Arial"/>
                <w:sz w:val="20"/>
                <w:szCs w:val="20"/>
                <w:lang w:eastAsia="es-CR"/>
              </w:rPr>
              <w:t>.</w:t>
            </w:r>
          </w:p>
        </w:tc>
      </w:tr>
      <w:tr w:rsidR="00356493" w:rsidRPr="00BB53C0" w14:paraId="4899FEE7" w14:textId="77777777" w:rsidTr="00356493">
        <w:trPr>
          <w:trHeight w:val="1860"/>
        </w:trPr>
        <w:tc>
          <w:tcPr>
            <w:tcW w:w="1520" w:type="dxa"/>
            <w:shd w:val="clear" w:color="auto" w:fill="auto"/>
            <w:vAlign w:val="center"/>
            <w:hideMark/>
          </w:tcPr>
          <w:p w14:paraId="2627229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125-2020</w:t>
            </w:r>
          </w:p>
        </w:tc>
        <w:tc>
          <w:tcPr>
            <w:tcW w:w="8114" w:type="dxa"/>
            <w:shd w:val="clear" w:color="auto" w:fill="auto"/>
            <w:hideMark/>
          </w:tcPr>
          <w:p w14:paraId="4665C09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6057-2020 del Consejo Superior, mediante el cual comunica el acuerdo de sesión 55-2020 del 4 de junio del 2020, artículo LV, sobre el oficio CJP122-2020 del uniforme 610-PLA-2020, referente diligencias programadas con personas privadas de libertad a partir del 1 de abril y hasta el 30 de junio de 2020. </w:t>
            </w:r>
          </w:p>
        </w:tc>
      </w:tr>
      <w:tr w:rsidR="00356493" w:rsidRPr="00BB53C0" w14:paraId="2FDF6F45" w14:textId="77777777" w:rsidTr="00356493">
        <w:trPr>
          <w:trHeight w:val="1860"/>
        </w:trPr>
        <w:tc>
          <w:tcPr>
            <w:tcW w:w="1520" w:type="dxa"/>
            <w:shd w:val="clear" w:color="auto" w:fill="auto"/>
            <w:vAlign w:val="center"/>
            <w:hideMark/>
          </w:tcPr>
          <w:p w14:paraId="56D4B78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126-2020</w:t>
            </w:r>
          </w:p>
        </w:tc>
        <w:tc>
          <w:tcPr>
            <w:tcW w:w="8114" w:type="dxa"/>
            <w:shd w:val="clear" w:color="auto" w:fill="auto"/>
            <w:hideMark/>
          </w:tcPr>
          <w:p w14:paraId="3991F7E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6062-2020 del Consejo Superior, mediante el cual comunica el acuerdo de sesión 55-2020 del 4 de junio del 2020, artículo LVI, mediante el cual se conoció el oficio CJP118-2020 sobre el informe de la Dirección de Planificación número 1707-PLA-OI-MI-2019, relativo a la falta de dos fiscales en la Fiscalía de Pococí. </w:t>
            </w:r>
          </w:p>
        </w:tc>
      </w:tr>
      <w:tr w:rsidR="00356493" w:rsidRPr="00BB53C0" w14:paraId="3E5E685F" w14:textId="77777777" w:rsidTr="00356493">
        <w:trPr>
          <w:trHeight w:val="1860"/>
        </w:trPr>
        <w:tc>
          <w:tcPr>
            <w:tcW w:w="1520" w:type="dxa"/>
            <w:shd w:val="clear" w:color="auto" w:fill="auto"/>
            <w:vAlign w:val="center"/>
            <w:hideMark/>
          </w:tcPr>
          <w:p w14:paraId="29BC7F9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127-2020</w:t>
            </w:r>
          </w:p>
        </w:tc>
        <w:tc>
          <w:tcPr>
            <w:tcW w:w="8114" w:type="dxa"/>
            <w:shd w:val="clear" w:color="auto" w:fill="auto"/>
            <w:hideMark/>
          </w:tcPr>
          <w:p w14:paraId="3F76747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6020-2020, del Consejo Superior, mediante el cual comunica el acuerdo de sesión 55-2020 del 4 de junio del 2020, artículo XXXII, sobre el oficio CJP117-2020l relacionado con oficio del Consejo Superior número 13136-19 conde consta el acuerdo XLVII de la sesión 107-19 y el oficio del Departamento de Planificación número 1659-PLA-OI-20219, en que nos comunicó el informe relativo al “Rediseño de procesos del Modelo Penal por medio de nuevas tecnologías de información del Juzgado Penal de Pavas”. </w:t>
            </w:r>
          </w:p>
        </w:tc>
      </w:tr>
      <w:tr w:rsidR="00356493" w:rsidRPr="00BB53C0" w14:paraId="1A454A37" w14:textId="77777777" w:rsidTr="00356493">
        <w:trPr>
          <w:trHeight w:val="1860"/>
        </w:trPr>
        <w:tc>
          <w:tcPr>
            <w:tcW w:w="1520" w:type="dxa"/>
            <w:shd w:val="clear" w:color="auto" w:fill="auto"/>
            <w:vAlign w:val="center"/>
            <w:hideMark/>
          </w:tcPr>
          <w:p w14:paraId="46D6E35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128-2020</w:t>
            </w:r>
          </w:p>
        </w:tc>
        <w:tc>
          <w:tcPr>
            <w:tcW w:w="8114" w:type="dxa"/>
            <w:shd w:val="clear" w:color="auto" w:fill="auto"/>
            <w:hideMark/>
          </w:tcPr>
          <w:p w14:paraId="3CDD8BB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6209-2020 del Consejo Superior, comunicando acuerdo de sesión 57-2020, del 11 de junio del 2020, artículo XXXV, sobre el oficio CJP126-2020 donde se resuelve una situación atinente a la forma en que estamos asumiendo la disponibilidad. </w:t>
            </w:r>
          </w:p>
        </w:tc>
      </w:tr>
      <w:tr w:rsidR="00356493" w:rsidRPr="00BB53C0" w14:paraId="2B816935" w14:textId="77777777" w:rsidTr="00356493">
        <w:trPr>
          <w:trHeight w:val="1860"/>
        </w:trPr>
        <w:tc>
          <w:tcPr>
            <w:tcW w:w="1520" w:type="dxa"/>
            <w:shd w:val="clear" w:color="auto" w:fill="auto"/>
            <w:vAlign w:val="center"/>
            <w:hideMark/>
          </w:tcPr>
          <w:p w14:paraId="6F3CE0F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129-2020</w:t>
            </w:r>
          </w:p>
        </w:tc>
        <w:tc>
          <w:tcPr>
            <w:tcW w:w="8114" w:type="dxa"/>
            <w:shd w:val="clear" w:color="auto" w:fill="auto"/>
            <w:hideMark/>
          </w:tcPr>
          <w:p w14:paraId="0D8E69E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6233-20 del Consejo Superior, comunicando acuerdo de sesión 60-2020, del 18 de junio del 2020, artículo, sobre gestión de la señora Jannette Mena Rodríguez, sobre solicita al Consejo Superior que se valore la posibilidad de asignar el recurso otorgado como parte del Plan Remedial de Descongestionamiento del Rediseño de Procesos en materia penal, del Tribunal de Guápiles al Tribunal Penal de Siquirres ante la emergencia por Covid-19 atendido mediante oficio 042-Mag.2.SCP-2020</w:t>
            </w:r>
            <w:r>
              <w:rPr>
                <w:rFonts w:ascii="Arial" w:eastAsia="Times New Roman" w:hAnsi="Arial" w:cs="Arial"/>
                <w:sz w:val="20"/>
                <w:szCs w:val="20"/>
                <w:lang w:eastAsia="es-CR"/>
              </w:rPr>
              <w:t>.</w:t>
            </w:r>
          </w:p>
        </w:tc>
      </w:tr>
      <w:tr w:rsidR="00356493" w:rsidRPr="00BB53C0" w14:paraId="60FB4FE2" w14:textId="77777777" w:rsidTr="00356493">
        <w:trPr>
          <w:trHeight w:val="1860"/>
        </w:trPr>
        <w:tc>
          <w:tcPr>
            <w:tcW w:w="1520" w:type="dxa"/>
            <w:shd w:val="clear" w:color="auto" w:fill="auto"/>
            <w:vAlign w:val="center"/>
            <w:hideMark/>
          </w:tcPr>
          <w:p w14:paraId="1EADE92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130-2020</w:t>
            </w:r>
          </w:p>
        </w:tc>
        <w:tc>
          <w:tcPr>
            <w:tcW w:w="8114" w:type="dxa"/>
            <w:shd w:val="clear" w:color="auto" w:fill="auto"/>
            <w:hideMark/>
          </w:tcPr>
          <w:p w14:paraId="10D5466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6262-2020 del Consejo Superior, comunicando acuerdo de sesión 57-2020 del 11 de junio del 2020, artículo LXI, sobre informe en torno a la nota remitida por el Ministerio de Justicia y Paz en oficio No. MJP-621-09-2019 del 23 de setiembre de 2019, atendido por la Comisión en oficio CJP094-2020. </w:t>
            </w:r>
          </w:p>
        </w:tc>
      </w:tr>
      <w:tr w:rsidR="00356493" w:rsidRPr="00BB53C0" w14:paraId="7BDE8CEC" w14:textId="77777777" w:rsidTr="00356493">
        <w:trPr>
          <w:trHeight w:val="1860"/>
        </w:trPr>
        <w:tc>
          <w:tcPr>
            <w:tcW w:w="1520" w:type="dxa"/>
            <w:shd w:val="clear" w:color="auto" w:fill="auto"/>
            <w:vAlign w:val="center"/>
            <w:hideMark/>
          </w:tcPr>
          <w:p w14:paraId="2434893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131-2020</w:t>
            </w:r>
          </w:p>
        </w:tc>
        <w:tc>
          <w:tcPr>
            <w:tcW w:w="8114" w:type="dxa"/>
            <w:shd w:val="clear" w:color="auto" w:fill="auto"/>
            <w:hideMark/>
          </w:tcPr>
          <w:p w14:paraId="0E80BCF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993-PLA-MI-2020, de la Dirección de Planificación, mediante el cual le copia a la Comisión, el informe Modernización Institucional, relacionado con el resumen de los antecedentes y situación actual respecto a las plazas de Custodias y Custodios de personas detenidas para analizar el movimiento de estas plazas, Dan plazo de 10 días naturales. </w:t>
            </w:r>
          </w:p>
        </w:tc>
      </w:tr>
      <w:tr w:rsidR="00356493" w:rsidRPr="00BB53C0" w14:paraId="029B8853" w14:textId="77777777" w:rsidTr="00356493">
        <w:trPr>
          <w:trHeight w:val="1860"/>
        </w:trPr>
        <w:tc>
          <w:tcPr>
            <w:tcW w:w="1520" w:type="dxa"/>
            <w:shd w:val="clear" w:color="auto" w:fill="auto"/>
            <w:vAlign w:val="center"/>
            <w:hideMark/>
          </w:tcPr>
          <w:p w14:paraId="23D12C3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132-2020</w:t>
            </w:r>
          </w:p>
        </w:tc>
        <w:tc>
          <w:tcPr>
            <w:tcW w:w="8114" w:type="dxa"/>
            <w:shd w:val="clear" w:color="auto" w:fill="auto"/>
            <w:hideMark/>
          </w:tcPr>
          <w:p w14:paraId="2A9A758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6393-2020 del Consejo Superior, comunicando acuerdo de sesión 67-2020 del 2 de julio del 2020, artículo LXI, donde se atendió oficio 043-Mag.2.SCP-2020, sobre los criterios de atención según la zona de criticidad definida por el Ministerio de Salud. </w:t>
            </w:r>
          </w:p>
        </w:tc>
      </w:tr>
      <w:tr w:rsidR="00356493" w:rsidRPr="00BB53C0" w14:paraId="3CA11B51" w14:textId="77777777" w:rsidTr="00356493">
        <w:trPr>
          <w:trHeight w:val="1860"/>
        </w:trPr>
        <w:tc>
          <w:tcPr>
            <w:tcW w:w="1520" w:type="dxa"/>
            <w:shd w:val="clear" w:color="auto" w:fill="auto"/>
            <w:vAlign w:val="center"/>
            <w:hideMark/>
          </w:tcPr>
          <w:p w14:paraId="23C9882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133-2020</w:t>
            </w:r>
          </w:p>
        </w:tc>
        <w:tc>
          <w:tcPr>
            <w:tcW w:w="8114" w:type="dxa"/>
            <w:shd w:val="clear" w:color="auto" w:fill="auto"/>
            <w:hideMark/>
          </w:tcPr>
          <w:p w14:paraId="057A371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1018-PLA-OI-MI-2020, de la Dirección de Planificación remitiendo informe relacionado con el conjunto de actividades enfocadas en el abordaje de la Jurisdicción Penal del país, sobre propuesta de Proyecto para el Desarrollo e Implementación del Modelo Estándar Integral del Proceso Penal</w:t>
            </w:r>
            <w:r>
              <w:rPr>
                <w:rFonts w:ascii="Arial" w:eastAsia="Times New Roman" w:hAnsi="Arial" w:cs="Arial"/>
                <w:sz w:val="20"/>
                <w:szCs w:val="20"/>
                <w:lang w:eastAsia="es-CR"/>
              </w:rPr>
              <w:t>.</w:t>
            </w:r>
            <w:r w:rsidRPr="00BB53C0">
              <w:rPr>
                <w:rFonts w:ascii="Arial" w:eastAsia="Times New Roman" w:hAnsi="Arial" w:cs="Arial"/>
                <w:sz w:val="20"/>
                <w:szCs w:val="20"/>
                <w:lang w:eastAsia="es-CR"/>
              </w:rPr>
              <w:t xml:space="preserve"> </w:t>
            </w:r>
          </w:p>
        </w:tc>
      </w:tr>
      <w:tr w:rsidR="00356493" w:rsidRPr="00BB53C0" w14:paraId="3C0E9D9C" w14:textId="77777777" w:rsidTr="00356493">
        <w:trPr>
          <w:trHeight w:val="1860"/>
        </w:trPr>
        <w:tc>
          <w:tcPr>
            <w:tcW w:w="1520" w:type="dxa"/>
            <w:shd w:val="clear" w:color="auto" w:fill="auto"/>
            <w:vAlign w:val="center"/>
            <w:hideMark/>
          </w:tcPr>
          <w:p w14:paraId="0BA1CCB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134-2020</w:t>
            </w:r>
          </w:p>
        </w:tc>
        <w:tc>
          <w:tcPr>
            <w:tcW w:w="8114" w:type="dxa"/>
            <w:shd w:val="clear" w:color="auto" w:fill="auto"/>
            <w:hideMark/>
          </w:tcPr>
          <w:p w14:paraId="59375D9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6419-2020 del Consejo Superior, comunicando acuerdo de sesión 66-2020, del 30 de junio de 2020, artículo LXVII, sobre disposiciones a seguir sobre los servicios que el poder judicial brinda en las zonas en que el Poder Ejecutivo ha decretado la alerta naranja debido al COVID-19, vigentes durante el lapso de tiempo en que se mantenga la alerta. CJP 150-2020.</w:t>
            </w:r>
          </w:p>
        </w:tc>
      </w:tr>
      <w:tr w:rsidR="00356493" w:rsidRPr="00BB53C0" w14:paraId="40C59166" w14:textId="77777777" w:rsidTr="00356493">
        <w:trPr>
          <w:trHeight w:val="1860"/>
        </w:trPr>
        <w:tc>
          <w:tcPr>
            <w:tcW w:w="1520" w:type="dxa"/>
            <w:shd w:val="clear" w:color="auto" w:fill="auto"/>
            <w:vAlign w:val="center"/>
            <w:hideMark/>
          </w:tcPr>
          <w:p w14:paraId="17C13A2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135-2020</w:t>
            </w:r>
          </w:p>
        </w:tc>
        <w:tc>
          <w:tcPr>
            <w:tcW w:w="8114" w:type="dxa"/>
            <w:shd w:val="clear" w:color="auto" w:fill="auto"/>
            <w:hideMark/>
          </w:tcPr>
          <w:p w14:paraId="6AE07A6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6441-20, del Consejo Superior, comunicando acuerdo de sesión 69-2020, celebrada el 07 de julio del 2020, artículo LIX, sobre gestión de La licenciada Diana Zúñiga Agüero, Defensora Pública Coordinadora de la Defensa Pública de Coto Brus, mediante oficio N° DPCB-10-2020 del 3 de julio de 2020, relativo a la declaratoria de alerta naranja en Coto Brus.</w:t>
            </w:r>
          </w:p>
        </w:tc>
      </w:tr>
      <w:tr w:rsidR="00356493" w:rsidRPr="00BB53C0" w14:paraId="14F6FE21" w14:textId="77777777" w:rsidTr="00356493">
        <w:trPr>
          <w:trHeight w:val="1860"/>
        </w:trPr>
        <w:tc>
          <w:tcPr>
            <w:tcW w:w="1520" w:type="dxa"/>
            <w:shd w:val="clear" w:color="auto" w:fill="auto"/>
            <w:vAlign w:val="center"/>
            <w:hideMark/>
          </w:tcPr>
          <w:p w14:paraId="7667BBC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136-2020</w:t>
            </w:r>
          </w:p>
        </w:tc>
        <w:tc>
          <w:tcPr>
            <w:tcW w:w="8114" w:type="dxa"/>
            <w:shd w:val="clear" w:color="auto" w:fill="auto"/>
            <w:hideMark/>
          </w:tcPr>
          <w:p w14:paraId="049CF88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Consulta del señor Jorge Morales Garcia, mediante correo electrónico del 13-07-2020, sobre las Firmas Digitales y Documentos Electrónicos, posee la misma validez que una firma física.</w:t>
            </w:r>
          </w:p>
        </w:tc>
      </w:tr>
      <w:tr w:rsidR="00356493" w:rsidRPr="00BB53C0" w14:paraId="66542D7C" w14:textId="77777777" w:rsidTr="00356493">
        <w:trPr>
          <w:trHeight w:val="1860"/>
        </w:trPr>
        <w:tc>
          <w:tcPr>
            <w:tcW w:w="1520" w:type="dxa"/>
            <w:shd w:val="clear" w:color="auto" w:fill="auto"/>
            <w:vAlign w:val="center"/>
            <w:hideMark/>
          </w:tcPr>
          <w:p w14:paraId="627FFC7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137-2020</w:t>
            </w:r>
          </w:p>
        </w:tc>
        <w:tc>
          <w:tcPr>
            <w:tcW w:w="8114" w:type="dxa"/>
            <w:shd w:val="clear" w:color="auto" w:fill="auto"/>
            <w:hideMark/>
          </w:tcPr>
          <w:p w14:paraId="6305888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6476-2020 del Consejo Superior, remitiendo acuerdo de sesión 59-2020 del 16 de junio del 2020, artículo LXI, sobre el oficio 447-DG-2020 del OIJ, sobre problema con cantidad de custodios. </w:t>
            </w:r>
          </w:p>
        </w:tc>
      </w:tr>
      <w:tr w:rsidR="00356493" w:rsidRPr="00BB53C0" w14:paraId="7343A9EF" w14:textId="77777777" w:rsidTr="00356493">
        <w:trPr>
          <w:trHeight w:val="1860"/>
        </w:trPr>
        <w:tc>
          <w:tcPr>
            <w:tcW w:w="1520" w:type="dxa"/>
            <w:shd w:val="clear" w:color="auto" w:fill="auto"/>
            <w:vAlign w:val="center"/>
            <w:hideMark/>
          </w:tcPr>
          <w:p w14:paraId="4661EAF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138-2020</w:t>
            </w:r>
          </w:p>
        </w:tc>
        <w:tc>
          <w:tcPr>
            <w:tcW w:w="8114" w:type="dxa"/>
            <w:shd w:val="clear" w:color="auto" w:fill="auto"/>
            <w:hideMark/>
          </w:tcPr>
          <w:p w14:paraId="357F649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6546-2020 del Consejo Superior, mediante el cual comunican acuerdo de sesión 33-2020 del 15 de junio de 2020, artículo XVI, referentes a los resultados del trabajo que han hecho las diferentes oficinas del Poder Judicial, con motivo de la declaratoria de estado de emergencia nacional, debido a la situación sanitaria provocada por el COVID-19</w:t>
            </w:r>
            <w:r>
              <w:rPr>
                <w:rFonts w:ascii="Arial" w:eastAsia="Times New Roman" w:hAnsi="Arial" w:cs="Arial"/>
                <w:sz w:val="20"/>
                <w:szCs w:val="20"/>
                <w:lang w:eastAsia="es-CR"/>
              </w:rPr>
              <w:t>.</w:t>
            </w:r>
          </w:p>
        </w:tc>
      </w:tr>
      <w:tr w:rsidR="00356493" w:rsidRPr="00BB53C0" w14:paraId="2EE9065F" w14:textId="77777777" w:rsidTr="00356493">
        <w:trPr>
          <w:trHeight w:val="1860"/>
        </w:trPr>
        <w:tc>
          <w:tcPr>
            <w:tcW w:w="1520" w:type="dxa"/>
            <w:shd w:val="clear" w:color="auto" w:fill="auto"/>
            <w:vAlign w:val="center"/>
            <w:hideMark/>
          </w:tcPr>
          <w:p w14:paraId="05DB19E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139-2020</w:t>
            </w:r>
          </w:p>
        </w:tc>
        <w:tc>
          <w:tcPr>
            <w:tcW w:w="8114" w:type="dxa"/>
            <w:shd w:val="clear" w:color="auto" w:fill="auto"/>
            <w:hideMark/>
          </w:tcPr>
          <w:p w14:paraId="417E8CB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6569-2020, del Consejo Superior, mediante el cual nos comunican acuerdo de sesión 64-2020 del 23 de julio del 2020, artículo LXXI, sobre el acuerdo tomado el día de hoy por el comité de fiscales coordinadores de la Fiscalía de Probidad, Transparencia y Anticorrupción, en adelante FAPTA- se solicita su intervención con carácter de urgencia por un tema de administración; por la tardía en las resoluciones de realización o suspensiones de juicios y audiencias de la Jurisdicción Penal de Hacienda. </w:t>
            </w:r>
          </w:p>
        </w:tc>
      </w:tr>
      <w:tr w:rsidR="00356493" w:rsidRPr="00BB53C0" w14:paraId="36F01B92" w14:textId="77777777" w:rsidTr="00356493">
        <w:trPr>
          <w:trHeight w:val="1860"/>
        </w:trPr>
        <w:tc>
          <w:tcPr>
            <w:tcW w:w="1520" w:type="dxa"/>
            <w:shd w:val="clear" w:color="auto" w:fill="auto"/>
            <w:vAlign w:val="center"/>
            <w:hideMark/>
          </w:tcPr>
          <w:p w14:paraId="3CA645B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140-2020</w:t>
            </w:r>
          </w:p>
        </w:tc>
        <w:tc>
          <w:tcPr>
            <w:tcW w:w="8114" w:type="dxa"/>
            <w:shd w:val="clear" w:color="auto" w:fill="auto"/>
            <w:hideMark/>
          </w:tcPr>
          <w:p w14:paraId="51CCC00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1057-PLA-OI-2020, de la Dirección de Planificación, relacionado con la competencia para abordar las solicitudes de órdenes de allanamiento por parte del Ministerio de Salud. </w:t>
            </w:r>
          </w:p>
        </w:tc>
      </w:tr>
      <w:tr w:rsidR="00356493" w:rsidRPr="00BB53C0" w14:paraId="03D808A5" w14:textId="77777777" w:rsidTr="00356493">
        <w:trPr>
          <w:trHeight w:val="1860"/>
        </w:trPr>
        <w:tc>
          <w:tcPr>
            <w:tcW w:w="1520" w:type="dxa"/>
            <w:shd w:val="clear" w:color="auto" w:fill="auto"/>
            <w:vAlign w:val="center"/>
            <w:hideMark/>
          </w:tcPr>
          <w:p w14:paraId="345E850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141-2020</w:t>
            </w:r>
          </w:p>
        </w:tc>
        <w:tc>
          <w:tcPr>
            <w:tcW w:w="8114" w:type="dxa"/>
            <w:shd w:val="clear" w:color="auto" w:fill="auto"/>
            <w:hideMark/>
          </w:tcPr>
          <w:p w14:paraId="292176D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1061-PLA-OI-2020, de la Dirección de Planificación, relacionado con el Rediseño de Procesos del modelo Penal por medio de nuevas tecnologías de información de la Sección de Flagrancia del Tribunal Penal del I Circuito Judicial de la Zona Atlántica. </w:t>
            </w:r>
          </w:p>
        </w:tc>
      </w:tr>
      <w:tr w:rsidR="00356493" w:rsidRPr="00BB53C0" w14:paraId="3C19D963" w14:textId="77777777" w:rsidTr="00356493">
        <w:trPr>
          <w:trHeight w:val="1860"/>
        </w:trPr>
        <w:tc>
          <w:tcPr>
            <w:tcW w:w="1520" w:type="dxa"/>
            <w:shd w:val="clear" w:color="auto" w:fill="auto"/>
            <w:vAlign w:val="center"/>
            <w:hideMark/>
          </w:tcPr>
          <w:p w14:paraId="11D057D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142-2020</w:t>
            </w:r>
          </w:p>
        </w:tc>
        <w:tc>
          <w:tcPr>
            <w:tcW w:w="8114" w:type="dxa"/>
            <w:shd w:val="clear" w:color="auto" w:fill="auto"/>
            <w:hideMark/>
          </w:tcPr>
          <w:p w14:paraId="00C5B76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6678-2020 del Consejo Superior, remitiendo acuerdo de la sesión 70-2020 del 9 de julio del 2020, artículo LIV, mediante el cual comunican la gestión de la Coordinadora del Juzgado Penal de Hacienda y Función Pública del Segundo Circuito Judicial de San José, donde se procurará la realización de las diligencias ya señaladas siempre y cuando ello sea posible y no se ponga en riesgo ni la salud ni la vida de las personas funcionarias de nuestras oficinas ni la de las personas usuarias. </w:t>
            </w:r>
          </w:p>
        </w:tc>
      </w:tr>
      <w:tr w:rsidR="00356493" w:rsidRPr="00BB53C0" w14:paraId="222FC649" w14:textId="77777777" w:rsidTr="00356493">
        <w:trPr>
          <w:trHeight w:val="1860"/>
        </w:trPr>
        <w:tc>
          <w:tcPr>
            <w:tcW w:w="1520" w:type="dxa"/>
            <w:shd w:val="clear" w:color="auto" w:fill="auto"/>
            <w:vAlign w:val="center"/>
            <w:hideMark/>
          </w:tcPr>
          <w:p w14:paraId="46B5852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143-2020</w:t>
            </w:r>
          </w:p>
        </w:tc>
        <w:tc>
          <w:tcPr>
            <w:tcW w:w="8114" w:type="dxa"/>
            <w:shd w:val="clear" w:color="auto" w:fill="auto"/>
            <w:hideMark/>
          </w:tcPr>
          <w:p w14:paraId="3CC30F5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6740-20 del Consejo Superior, remitiendo acuerdo de sesión 72-2020- del 16 de julio del 2020, artículo LXXIII, en atención a las medidas adoptadas por el Ministerio de Salud, así como el decreto ejecutivo 42227-MS emitido el día 16 de marzo de 2020, en que se declara estado de emergencia nacional en todo el territorio de la República de Costa Rica, debido a la situación de emergencia sanitaria provocada por la enfermedad COVID-19. </w:t>
            </w:r>
          </w:p>
        </w:tc>
      </w:tr>
      <w:tr w:rsidR="00356493" w:rsidRPr="00BB53C0" w14:paraId="131335B5" w14:textId="77777777" w:rsidTr="00356493">
        <w:trPr>
          <w:trHeight w:val="2130"/>
        </w:trPr>
        <w:tc>
          <w:tcPr>
            <w:tcW w:w="1520" w:type="dxa"/>
            <w:shd w:val="clear" w:color="auto" w:fill="auto"/>
            <w:vAlign w:val="center"/>
            <w:hideMark/>
          </w:tcPr>
          <w:p w14:paraId="1DD69DE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144-2020</w:t>
            </w:r>
          </w:p>
        </w:tc>
        <w:tc>
          <w:tcPr>
            <w:tcW w:w="8114" w:type="dxa"/>
            <w:shd w:val="clear" w:color="auto" w:fill="auto"/>
            <w:hideMark/>
          </w:tcPr>
          <w:p w14:paraId="4D74C0B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la señora Cinthia Sáenz Valerio, de fecha 9 de julio del 2020, mediante el cual traslada a la Comisión gestión sobre siguiente plan de trabajo para nuestros juzgados, en razón de la Circular 57-2020, y en búsqueda del cumplimiento de las Ordenes Sanitarias del Ministerio de Salud, que nos convoca a realizar teletrabajo, a no salir de las casas y a procurar el distanciamiento social, y que a su vez cumplamos con dar un servicio de calidad hacia nuestros usuarios, procurando teletrabajo, así como mantener controlable y baja la línea de crecimiento de casos con COVID-19</w:t>
            </w:r>
            <w:r>
              <w:rPr>
                <w:rFonts w:ascii="Arial" w:eastAsia="Times New Roman" w:hAnsi="Arial" w:cs="Arial"/>
                <w:sz w:val="20"/>
                <w:szCs w:val="20"/>
                <w:lang w:eastAsia="es-CR"/>
              </w:rPr>
              <w:t>.</w:t>
            </w:r>
          </w:p>
        </w:tc>
      </w:tr>
      <w:tr w:rsidR="00356493" w:rsidRPr="00BB53C0" w14:paraId="020DF035" w14:textId="77777777" w:rsidTr="00356493">
        <w:trPr>
          <w:trHeight w:val="1920"/>
        </w:trPr>
        <w:tc>
          <w:tcPr>
            <w:tcW w:w="1520" w:type="dxa"/>
            <w:shd w:val="clear" w:color="auto" w:fill="auto"/>
            <w:vAlign w:val="center"/>
            <w:hideMark/>
          </w:tcPr>
          <w:p w14:paraId="63001DD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145-2020</w:t>
            </w:r>
          </w:p>
        </w:tc>
        <w:tc>
          <w:tcPr>
            <w:tcW w:w="8114" w:type="dxa"/>
            <w:shd w:val="clear" w:color="auto" w:fill="auto"/>
            <w:hideMark/>
          </w:tcPr>
          <w:p w14:paraId="1684DC8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6694-20 del Consejo Superior, de sesión 70-2020 del 9 de julio de 2020, artículo LIII, sobre medidas adoptadas por el Juzgado Contravencional de Bagaces, ante Covid-19, solamente se le copia a la Comisión.</w:t>
            </w:r>
          </w:p>
        </w:tc>
      </w:tr>
      <w:tr w:rsidR="00356493" w:rsidRPr="00BB53C0" w14:paraId="01858EA8" w14:textId="77777777" w:rsidTr="00356493">
        <w:trPr>
          <w:trHeight w:val="1920"/>
        </w:trPr>
        <w:tc>
          <w:tcPr>
            <w:tcW w:w="1520" w:type="dxa"/>
            <w:shd w:val="clear" w:color="auto" w:fill="auto"/>
            <w:vAlign w:val="center"/>
            <w:hideMark/>
          </w:tcPr>
          <w:p w14:paraId="6BC4D2B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146-2020</w:t>
            </w:r>
          </w:p>
        </w:tc>
        <w:tc>
          <w:tcPr>
            <w:tcW w:w="8114" w:type="dxa"/>
            <w:shd w:val="clear" w:color="auto" w:fill="auto"/>
            <w:hideMark/>
          </w:tcPr>
          <w:p w14:paraId="78D43F1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1071-PLA-OI-2020, de la Dirección de Planificación, mediante el cual remiten el informe relacionado con el Rediseño de Procesos del Tribunal Penal de Limón. </w:t>
            </w:r>
          </w:p>
        </w:tc>
      </w:tr>
      <w:tr w:rsidR="00356493" w:rsidRPr="00BB53C0" w14:paraId="00E9CF56" w14:textId="77777777" w:rsidTr="00356493">
        <w:trPr>
          <w:trHeight w:val="1920"/>
        </w:trPr>
        <w:tc>
          <w:tcPr>
            <w:tcW w:w="1520" w:type="dxa"/>
            <w:shd w:val="clear" w:color="auto" w:fill="auto"/>
            <w:vAlign w:val="center"/>
            <w:hideMark/>
          </w:tcPr>
          <w:p w14:paraId="7BBE7E2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147-2020</w:t>
            </w:r>
          </w:p>
        </w:tc>
        <w:tc>
          <w:tcPr>
            <w:tcW w:w="8114" w:type="dxa"/>
            <w:shd w:val="clear" w:color="auto" w:fill="auto"/>
            <w:hideMark/>
          </w:tcPr>
          <w:p w14:paraId="55FA5DB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6762-2020 del Consejo Superior, acuerdo de sesión 66-2020 del 30 de junio de 2020, artículo XL, solicitando criterio de la Comisión al respecto del Oficio TZS-OSA-230-2020 del 19 de junio de 2020, de la licenciada Carmen María Rodríguez Montoya, jueza coordinadora del Tribunal de Juicio de Osa. </w:t>
            </w:r>
          </w:p>
        </w:tc>
      </w:tr>
      <w:tr w:rsidR="00356493" w:rsidRPr="00BB53C0" w14:paraId="2EBA168B" w14:textId="77777777" w:rsidTr="00356493">
        <w:trPr>
          <w:trHeight w:val="1875"/>
        </w:trPr>
        <w:tc>
          <w:tcPr>
            <w:tcW w:w="1520" w:type="dxa"/>
            <w:shd w:val="clear" w:color="auto" w:fill="auto"/>
            <w:vAlign w:val="center"/>
            <w:hideMark/>
          </w:tcPr>
          <w:p w14:paraId="24C3BCE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148-2020</w:t>
            </w:r>
          </w:p>
        </w:tc>
        <w:tc>
          <w:tcPr>
            <w:tcW w:w="8114" w:type="dxa"/>
            <w:shd w:val="clear" w:color="auto" w:fill="auto"/>
            <w:hideMark/>
          </w:tcPr>
          <w:p w14:paraId="0432DFA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6713-2020 del Consejo Superior, mediante el cual remiten el acuerdo de sesión 70-2020 del 9 de julio del 2020, artículo LV, sobre correo electrónico del 29 de junio de 2020, el máster Pedro Méndez Aguilar, Juez Coordinador interino del Tribunal Penal del Tercer Circuito Judicial de San José, Sede Suroeste, remitió un protocolo que ha sido elaborado para ser aplicado en el citado Tribunal con ocasión de la emergencia nacional por el Covid-19, se hace de conocimiento de la Comisión. </w:t>
            </w:r>
          </w:p>
        </w:tc>
      </w:tr>
      <w:tr w:rsidR="00356493" w:rsidRPr="00BB53C0" w14:paraId="5FC43A78" w14:textId="77777777" w:rsidTr="00356493">
        <w:trPr>
          <w:trHeight w:val="1875"/>
        </w:trPr>
        <w:tc>
          <w:tcPr>
            <w:tcW w:w="1520" w:type="dxa"/>
            <w:shd w:val="clear" w:color="auto" w:fill="auto"/>
            <w:vAlign w:val="center"/>
            <w:hideMark/>
          </w:tcPr>
          <w:p w14:paraId="33FF95A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149-2020</w:t>
            </w:r>
          </w:p>
        </w:tc>
        <w:tc>
          <w:tcPr>
            <w:tcW w:w="8114" w:type="dxa"/>
            <w:shd w:val="clear" w:color="auto" w:fill="auto"/>
            <w:hideMark/>
          </w:tcPr>
          <w:p w14:paraId="6F1DA80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6808-20 del Consejo Superior, mediante el cual remite copia del acuerdo de sesión 71-2020 del 14 de julio del 2020, artículo XXI, donde se atendió oficio N° 687-72-SAEE-2020 de fecha 16 de junio de 2020, el licenciado Roberth García González, Auditor Judicial, remite el informe correspondiente a la evaluación efectuada por la Sección de Auditoría de Estudios Especiales, denominada “Evaluación del Sistema de Control interno en la bodega de drogas del Organismo de Investigación Judicial” Solo se le copia a la Comisión. </w:t>
            </w:r>
          </w:p>
        </w:tc>
      </w:tr>
      <w:tr w:rsidR="00356493" w:rsidRPr="00BB53C0" w14:paraId="54A53842" w14:textId="77777777" w:rsidTr="00356493">
        <w:trPr>
          <w:trHeight w:val="1860"/>
        </w:trPr>
        <w:tc>
          <w:tcPr>
            <w:tcW w:w="1520" w:type="dxa"/>
            <w:shd w:val="clear" w:color="auto" w:fill="auto"/>
            <w:vAlign w:val="center"/>
            <w:hideMark/>
          </w:tcPr>
          <w:p w14:paraId="0604040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150-2020</w:t>
            </w:r>
          </w:p>
        </w:tc>
        <w:tc>
          <w:tcPr>
            <w:tcW w:w="8114" w:type="dxa"/>
            <w:shd w:val="clear" w:color="auto" w:fill="auto"/>
            <w:hideMark/>
          </w:tcPr>
          <w:p w14:paraId="631C6D9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1085-PLA-EV-2020, de la Dirección de Planificación, mediante el cual remite el proyecto 0110-PLA-P15 sobre Virtualización de servicios Jurisdiccionales Poder Judicial, se remite copia a la Comisión. </w:t>
            </w:r>
          </w:p>
        </w:tc>
      </w:tr>
      <w:tr w:rsidR="00356493" w:rsidRPr="00BB53C0" w14:paraId="51F89107" w14:textId="77777777" w:rsidTr="00356493">
        <w:trPr>
          <w:trHeight w:val="1860"/>
        </w:trPr>
        <w:tc>
          <w:tcPr>
            <w:tcW w:w="1520" w:type="dxa"/>
            <w:shd w:val="clear" w:color="auto" w:fill="auto"/>
            <w:vAlign w:val="center"/>
            <w:hideMark/>
          </w:tcPr>
          <w:p w14:paraId="616C263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151-2020</w:t>
            </w:r>
          </w:p>
        </w:tc>
        <w:tc>
          <w:tcPr>
            <w:tcW w:w="8114" w:type="dxa"/>
            <w:shd w:val="clear" w:color="auto" w:fill="auto"/>
            <w:hideMark/>
          </w:tcPr>
          <w:p w14:paraId="0D03484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6744-2020, del Consejo Superior, mediante el cual comunican el acuerdo de sesión 70-2020 del 9 de julio de 2020, artículo LII, donde se conoció el oficio N° 23-CAIICJZA-2020, del Licenciado Jeffrey Thomas Daniels y el máster Miguel Gutiérrez Fernández, por su orden presidente y secretario del Consejo de Administración del Segundo Circuito Judicial de la Zona Atlántica, mediante el cual remite los planes para un determinado grupo de despachos, ante la declaratoria de alerta naranja. </w:t>
            </w:r>
          </w:p>
        </w:tc>
      </w:tr>
      <w:tr w:rsidR="00356493" w:rsidRPr="00BB53C0" w14:paraId="42FAE001" w14:textId="77777777" w:rsidTr="00356493">
        <w:trPr>
          <w:trHeight w:val="1860"/>
        </w:trPr>
        <w:tc>
          <w:tcPr>
            <w:tcW w:w="1520" w:type="dxa"/>
            <w:shd w:val="clear" w:color="auto" w:fill="auto"/>
            <w:vAlign w:val="center"/>
            <w:hideMark/>
          </w:tcPr>
          <w:p w14:paraId="47E08D1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152-2020</w:t>
            </w:r>
          </w:p>
        </w:tc>
        <w:tc>
          <w:tcPr>
            <w:tcW w:w="8114" w:type="dxa"/>
            <w:shd w:val="clear" w:color="auto" w:fill="auto"/>
            <w:hideMark/>
          </w:tcPr>
          <w:p w14:paraId="0C91732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CACC-336-2020 de la Unidad de Acceso a la Justicia del Poder Judicial, consultando a la Comisión informar sobre las acciones realizadas desde el ámbito de Jurisdicción Penal, asociados a los artículos 56 y 67 de la Ley de acceso a la Justicia. </w:t>
            </w:r>
          </w:p>
        </w:tc>
      </w:tr>
      <w:tr w:rsidR="00356493" w:rsidRPr="00BB53C0" w14:paraId="218E6A98" w14:textId="77777777" w:rsidTr="00356493">
        <w:trPr>
          <w:trHeight w:val="1860"/>
        </w:trPr>
        <w:tc>
          <w:tcPr>
            <w:tcW w:w="1520" w:type="dxa"/>
            <w:shd w:val="clear" w:color="auto" w:fill="auto"/>
            <w:vAlign w:val="center"/>
            <w:hideMark/>
          </w:tcPr>
          <w:p w14:paraId="2D705B7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153-2020</w:t>
            </w:r>
          </w:p>
        </w:tc>
        <w:tc>
          <w:tcPr>
            <w:tcW w:w="8114" w:type="dxa"/>
            <w:shd w:val="clear" w:color="auto" w:fill="auto"/>
            <w:hideMark/>
          </w:tcPr>
          <w:p w14:paraId="4A7264B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1102-PLA-OI-2020, de la Dirección de Planificación, mediante el cual se remite el informe relacionado con el Rediseño de Procesos del modelo Penal por medio de nuevas tecnologías de información del Juzgado Penal de Talamanca. </w:t>
            </w:r>
          </w:p>
        </w:tc>
      </w:tr>
      <w:tr w:rsidR="00356493" w:rsidRPr="00BB53C0" w14:paraId="3B38BE0A" w14:textId="77777777" w:rsidTr="00356493">
        <w:trPr>
          <w:trHeight w:val="1860"/>
        </w:trPr>
        <w:tc>
          <w:tcPr>
            <w:tcW w:w="1520" w:type="dxa"/>
            <w:shd w:val="clear" w:color="auto" w:fill="auto"/>
            <w:vAlign w:val="center"/>
            <w:hideMark/>
          </w:tcPr>
          <w:p w14:paraId="6F9BFFD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154-2020</w:t>
            </w:r>
          </w:p>
        </w:tc>
        <w:tc>
          <w:tcPr>
            <w:tcW w:w="8114" w:type="dxa"/>
            <w:shd w:val="clear" w:color="auto" w:fill="auto"/>
            <w:hideMark/>
          </w:tcPr>
          <w:p w14:paraId="4EB2C4E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1108-PLA-OI-2020, de la Dirección de Planificación, mediante el cual nos remite el informe final relacionado con el funcionamiento del Sistema de Justicia Penal durante la atención de la emergencia nacional. El cual se atendió mediante el oficio CJP153-2020. </w:t>
            </w:r>
          </w:p>
        </w:tc>
      </w:tr>
      <w:tr w:rsidR="00356493" w:rsidRPr="00BB53C0" w14:paraId="121A97DE" w14:textId="77777777" w:rsidTr="00356493">
        <w:trPr>
          <w:trHeight w:val="1860"/>
        </w:trPr>
        <w:tc>
          <w:tcPr>
            <w:tcW w:w="1520" w:type="dxa"/>
            <w:shd w:val="clear" w:color="auto" w:fill="auto"/>
            <w:vAlign w:val="center"/>
            <w:hideMark/>
          </w:tcPr>
          <w:p w14:paraId="0ADF639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155-2020</w:t>
            </w:r>
          </w:p>
        </w:tc>
        <w:tc>
          <w:tcPr>
            <w:tcW w:w="8114" w:type="dxa"/>
            <w:shd w:val="clear" w:color="auto" w:fill="auto"/>
            <w:hideMark/>
          </w:tcPr>
          <w:p w14:paraId="36FC8F8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6909-2020 de la Secretaría General de la Corte, mediante el cual trasladan el correo de la señora Jueza Penal Natalia Rodríguez Solís, mediante el cual solicita aclaración o reconsideración de las disposiciones de Corte, en cuanto al tema de los allanamientos en zonas decretadas como en alerta naranja, por motivo del Covid-19. </w:t>
            </w:r>
          </w:p>
        </w:tc>
      </w:tr>
      <w:tr w:rsidR="00356493" w:rsidRPr="00BB53C0" w14:paraId="237A93E1" w14:textId="77777777" w:rsidTr="00356493">
        <w:trPr>
          <w:trHeight w:val="1860"/>
        </w:trPr>
        <w:tc>
          <w:tcPr>
            <w:tcW w:w="1520" w:type="dxa"/>
            <w:shd w:val="clear" w:color="auto" w:fill="auto"/>
            <w:vAlign w:val="center"/>
            <w:hideMark/>
          </w:tcPr>
          <w:p w14:paraId="2140DC1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156-2020</w:t>
            </w:r>
          </w:p>
        </w:tc>
        <w:tc>
          <w:tcPr>
            <w:tcW w:w="8114" w:type="dxa"/>
            <w:shd w:val="clear" w:color="auto" w:fill="auto"/>
            <w:hideMark/>
          </w:tcPr>
          <w:p w14:paraId="504934C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Consulta por parte del oficial de la Inspección Judicial, Wagner Torres Cortés, mediante el cual traslada lo acordado mediante la resolución 2102-2020, al respecto de la queja al respecto de trasladar al imputado a la oficina de monitoreo previo que, al Juzgado de Ejecución de la Pena, por el tema de monitoreo electrónico. </w:t>
            </w:r>
          </w:p>
        </w:tc>
      </w:tr>
      <w:tr w:rsidR="00356493" w:rsidRPr="00BB53C0" w14:paraId="511A4667" w14:textId="77777777" w:rsidTr="00356493">
        <w:trPr>
          <w:trHeight w:val="1860"/>
        </w:trPr>
        <w:tc>
          <w:tcPr>
            <w:tcW w:w="1520" w:type="dxa"/>
            <w:shd w:val="clear" w:color="auto" w:fill="auto"/>
            <w:vAlign w:val="center"/>
            <w:hideMark/>
          </w:tcPr>
          <w:p w14:paraId="3087F38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157-2020</w:t>
            </w:r>
          </w:p>
        </w:tc>
        <w:tc>
          <w:tcPr>
            <w:tcW w:w="8114" w:type="dxa"/>
            <w:shd w:val="clear" w:color="auto" w:fill="auto"/>
            <w:hideMark/>
          </w:tcPr>
          <w:p w14:paraId="6A97801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7117-2020, mediante el cual se comunica el acuerdo del Consejo Superior, de sesión 74-2020 del 23 de julio del 2020, artículo XV, en relación con el oficio CJP156-2020 sobre instar a los jueces a utilizar los medios tecnológicos para hacer audiencias virtuales</w:t>
            </w:r>
            <w:r>
              <w:rPr>
                <w:rFonts w:ascii="Arial" w:eastAsia="Times New Roman" w:hAnsi="Arial" w:cs="Arial"/>
                <w:sz w:val="20"/>
                <w:szCs w:val="20"/>
                <w:lang w:eastAsia="es-CR"/>
              </w:rPr>
              <w:t>.</w:t>
            </w:r>
          </w:p>
        </w:tc>
      </w:tr>
      <w:tr w:rsidR="00356493" w:rsidRPr="00BB53C0" w14:paraId="3B9E434A" w14:textId="77777777" w:rsidTr="00356493">
        <w:trPr>
          <w:trHeight w:val="1860"/>
        </w:trPr>
        <w:tc>
          <w:tcPr>
            <w:tcW w:w="1520" w:type="dxa"/>
            <w:shd w:val="clear" w:color="auto" w:fill="auto"/>
            <w:vAlign w:val="center"/>
            <w:hideMark/>
          </w:tcPr>
          <w:p w14:paraId="780BB8E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158-2020</w:t>
            </w:r>
          </w:p>
        </w:tc>
        <w:tc>
          <w:tcPr>
            <w:tcW w:w="8114" w:type="dxa"/>
            <w:shd w:val="clear" w:color="auto" w:fill="auto"/>
            <w:hideMark/>
          </w:tcPr>
          <w:p w14:paraId="74C16DC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7024-2020, mediante el cual se comunica el acuerdo del Consejo Superior, de sesión 73-2020 del 21 de julio de 2020, artículo LIX, sobre medidas adoptadas por el Juzgado Penal de Grecia, en razón de la declaratoria de alerta naranja. Solo se copia a la Comisión. </w:t>
            </w:r>
          </w:p>
        </w:tc>
      </w:tr>
      <w:tr w:rsidR="00356493" w:rsidRPr="00BB53C0" w14:paraId="12B53EF1" w14:textId="77777777" w:rsidTr="00356493">
        <w:trPr>
          <w:trHeight w:val="1860"/>
        </w:trPr>
        <w:tc>
          <w:tcPr>
            <w:tcW w:w="1520" w:type="dxa"/>
            <w:shd w:val="clear" w:color="auto" w:fill="auto"/>
            <w:vAlign w:val="center"/>
            <w:hideMark/>
          </w:tcPr>
          <w:p w14:paraId="4188446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159-2020</w:t>
            </w:r>
          </w:p>
        </w:tc>
        <w:tc>
          <w:tcPr>
            <w:tcW w:w="8114" w:type="dxa"/>
            <w:shd w:val="clear" w:color="auto" w:fill="auto"/>
            <w:hideMark/>
          </w:tcPr>
          <w:p w14:paraId="23B5DB9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7069-2020, mediante el cual se comunica el acuerdo del Consejo Superior, de sesión 73-2020 del 21 de julio de 2020, artículo LXII, en relación con las medidas adoptadas por el Juzgado Contravencional de Escazú, por motivo de la declaratoria en alerta naranja. Solo se copia a la Comisión. </w:t>
            </w:r>
          </w:p>
        </w:tc>
      </w:tr>
      <w:tr w:rsidR="00356493" w:rsidRPr="00BB53C0" w14:paraId="645CB764" w14:textId="77777777" w:rsidTr="00356493">
        <w:trPr>
          <w:trHeight w:val="1860"/>
        </w:trPr>
        <w:tc>
          <w:tcPr>
            <w:tcW w:w="1520" w:type="dxa"/>
            <w:shd w:val="clear" w:color="auto" w:fill="auto"/>
            <w:vAlign w:val="center"/>
            <w:hideMark/>
          </w:tcPr>
          <w:p w14:paraId="4E3C614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160-2020</w:t>
            </w:r>
          </w:p>
        </w:tc>
        <w:tc>
          <w:tcPr>
            <w:tcW w:w="8114" w:type="dxa"/>
            <w:shd w:val="clear" w:color="auto" w:fill="auto"/>
            <w:hideMark/>
          </w:tcPr>
          <w:p w14:paraId="7D6D477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7025-2020, mediante el cual se comunica el acuerdo del Consejo Superior, de sesión 73-2020 del 21 de julio de 2020, artículo LXIII, en relación con las medidas adoptadas por el Juzgado Contravencional de Cartago, por motivo de la declaratoria en alerta naranja. Solo se copia a la Comisión. </w:t>
            </w:r>
          </w:p>
        </w:tc>
      </w:tr>
      <w:tr w:rsidR="00356493" w:rsidRPr="00BB53C0" w14:paraId="242A4C73" w14:textId="77777777" w:rsidTr="00356493">
        <w:trPr>
          <w:trHeight w:val="1860"/>
        </w:trPr>
        <w:tc>
          <w:tcPr>
            <w:tcW w:w="1520" w:type="dxa"/>
            <w:shd w:val="clear" w:color="auto" w:fill="auto"/>
            <w:vAlign w:val="center"/>
            <w:hideMark/>
          </w:tcPr>
          <w:p w14:paraId="53F452A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161-2020</w:t>
            </w:r>
          </w:p>
        </w:tc>
        <w:tc>
          <w:tcPr>
            <w:tcW w:w="8114" w:type="dxa"/>
            <w:shd w:val="clear" w:color="auto" w:fill="auto"/>
            <w:hideMark/>
          </w:tcPr>
          <w:p w14:paraId="5F142DB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7027-2020, mediante el cual se comunica el acuerdo del Consejo Superior, de sesión 73-2020 del 21 de julio del 2020, artículo LXVII, mediante el cual se comunica las medidas adoptadas por el Tribunal de Apelación de Sentencia Penal de San José. solo se copia a la Comisión. </w:t>
            </w:r>
          </w:p>
        </w:tc>
      </w:tr>
      <w:tr w:rsidR="00356493" w:rsidRPr="00BB53C0" w14:paraId="405DE7F1" w14:textId="77777777" w:rsidTr="00356493">
        <w:trPr>
          <w:trHeight w:val="1860"/>
        </w:trPr>
        <w:tc>
          <w:tcPr>
            <w:tcW w:w="1520" w:type="dxa"/>
            <w:shd w:val="clear" w:color="auto" w:fill="auto"/>
            <w:vAlign w:val="center"/>
            <w:hideMark/>
          </w:tcPr>
          <w:p w14:paraId="05C3AD8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162-2020</w:t>
            </w:r>
          </w:p>
        </w:tc>
        <w:tc>
          <w:tcPr>
            <w:tcW w:w="8114" w:type="dxa"/>
            <w:shd w:val="clear" w:color="auto" w:fill="auto"/>
            <w:hideMark/>
          </w:tcPr>
          <w:p w14:paraId="3EE3B32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7166-2020 del Consejo Superior, mediante el cual comunica el acuerdo de sesión 76-2020 del 30 de julio de 2020, artículo XXVII, mediante el cual se acordó lo correspondiente al informe 950-PLA-2020 de la Dirección de Planificación, (consulta 118-2020) integraciones para la atención de la emergencia. Solo se copia a la Comisión. </w:t>
            </w:r>
          </w:p>
        </w:tc>
      </w:tr>
      <w:tr w:rsidR="00356493" w:rsidRPr="00BB53C0" w14:paraId="33630C6D" w14:textId="77777777" w:rsidTr="00356493">
        <w:trPr>
          <w:trHeight w:val="1860"/>
        </w:trPr>
        <w:tc>
          <w:tcPr>
            <w:tcW w:w="1520" w:type="dxa"/>
            <w:shd w:val="clear" w:color="auto" w:fill="auto"/>
            <w:vAlign w:val="center"/>
            <w:hideMark/>
          </w:tcPr>
          <w:p w14:paraId="6D97E88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163-2020</w:t>
            </w:r>
          </w:p>
        </w:tc>
        <w:tc>
          <w:tcPr>
            <w:tcW w:w="8114" w:type="dxa"/>
            <w:shd w:val="clear" w:color="auto" w:fill="auto"/>
            <w:hideMark/>
          </w:tcPr>
          <w:p w14:paraId="77C09D6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7056-2020 del Consejo Superior, mediante el cual comunica el acuerdo de sesión 73-2020 del 21 de julio del 2020, artículo LXVIII, mediante el cual se comunica las medidas adoptadas por el Juzgado Contravencional de Santa Ana, al respecto de la declaratoria de alerta Naranja. Solo se copia a la Comisión. </w:t>
            </w:r>
          </w:p>
        </w:tc>
      </w:tr>
      <w:tr w:rsidR="00356493" w:rsidRPr="00BB53C0" w14:paraId="4039D3F4" w14:textId="77777777" w:rsidTr="00356493">
        <w:trPr>
          <w:trHeight w:val="1860"/>
        </w:trPr>
        <w:tc>
          <w:tcPr>
            <w:tcW w:w="1520" w:type="dxa"/>
            <w:shd w:val="clear" w:color="auto" w:fill="auto"/>
            <w:vAlign w:val="center"/>
            <w:hideMark/>
          </w:tcPr>
          <w:p w14:paraId="79E0784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164-2020</w:t>
            </w:r>
          </w:p>
        </w:tc>
        <w:tc>
          <w:tcPr>
            <w:tcW w:w="8114" w:type="dxa"/>
            <w:shd w:val="clear" w:color="auto" w:fill="auto"/>
            <w:hideMark/>
          </w:tcPr>
          <w:p w14:paraId="33723A7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7063-2020 del Consejo Superior, mediante el cual se comunica el acuerdo de sesión 73-2020 del 21 de julio del 2020, artículo LX, mediante el cual se comunica las medidas adoptadas por el Juzgado Contravencional de Bribrí, al respecto de las declaratoria de emergencia. </w:t>
            </w:r>
          </w:p>
        </w:tc>
      </w:tr>
      <w:tr w:rsidR="00356493" w:rsidRPr="00BB53C0" w14:paraId="6F19040C" w14:textId="77777777" w:rsidTr="00356493">
        <w:trPr>
          <w:trHeight w:val="1860"/>
        </w:trPr>
        <w:tc>
          <w:tcPr>
            <w:tcW w:w="1520" w:type="dxa"/>
            <w:shd w:val="clear" w:color="auto" w:fill="auto"/>
            <w:vAlign w:val="center"/>
            <w:hideMark/>
          </w:tcPr>
          <w:p w14:paraId="058500A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165-2020</w:t>
            </w:r>
          </w:p>
        </w:tc>
        <w:tc>
          <w:tcPr>
            <w:tcW w:w="8114" w:type="dxa"/>
            <w:shd w:val="clear" w:color="auto" w:fill="auto"/>
            <w:hideMark/>
          </w:tcPr>
          <w:p w14:paraId="5A75AA7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7160-2020 del Consejo Superior, mediante el cual comunican lo acordado en sesión 70-2020 del 9 de julio del 2020, artículo LXXII, en relación con la gestión que presenta la licenciada Leidy Marcela González Acuña, Jueza Coordinadora del Juzgado Penal de La Fortuna, se solicita "Trasladar la gestión a la Comisión de la Jurisdicción Penal para que en conjunto con la Dirección de Planificación para su análisis y recomienden a este Consejo lo que corresponda". </w:t>
            </w:r>
          </w:p>
        </w:tc>
      </w:tr>
      <w:tr w:rsidR="00356493" w:rsidRPr="00BB53C0" w14:paraId="2D1F89CC" w14:textId="77777777" w:rsidTr="00356493">
        <w:trPr>
          <w:trHeight w:val="1860"/>
        </w:trPr>
        <w:tc>
          <w:tcPr>
            <w:tcW w:w="1520" w:type="dxa"/>
            <w:shd w:val="clear" w:color="auto" w:fill="auto"/>
            <w:vAlign w:val="center"/>
            <w:hideMark/>
          </w:tcPr>
          <w:p w14:paraId="2DBD2D6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166-2020</w:t>
            </w:r>
          </w:p>
        </w:tc>
        <w:tc>
          <w:tcPr>
            <w:tcW w:w="8114" w:type="dxa"/>
            <w:shd w:val="clear" w:color="auto" w:fill="auto"/>
            <w:hideMark/>
          </w:tcPr>
          <w:p w14:paraId="4D82C72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Danilo Segura Mata de fecha 3 de agosto 2020, mediante el cual comparte la gestión hecha por el Juzgado Penal Juvenil del Primer Circuito Judicial de San José, para la atención de usuarios, y solicita a la Comisión, apoyar e impulsar la gestión. </w:t>
            </w:r>
          </w:p>
        </w:tc>
      </w:tr>
      <w:tr w:rsidR="00356493" w:rsidRPr="00BB53C0" w14:paraId="433869A3" w14:textId="77777777" w:rsidTr="00356493">
        <w:trPr>
          <w:trHeight w:val="1860"/>
        </w:trPr>
        <w:tc>
          <w:tcPr>
            <w:tcW w:w="1520" w:type="dxa"/>
            <w:shd w:val="clear" w:color="auto" w:fill="auto"/>
            <w:vAlign w:val="center"/>
            <w:hideMark/>
          </w:tcPr>
          <w:p w14:paraId="2DF6346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167-2020</w:t>
            </w:r>
          </w:p>
        </w:tc>
        <w:tc>
          <w:tcPr>
            <w:tcW w:w="8114" w:type="dxa"/>
            <w:shd w:val="clear" w:color="auto" w:fill="auto"/>
            <w:hideMark/>
          </w:tcPr>
          <w:p w14:paraId="5944E60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7108-2020 del Consejo Superior, mediante el cual se comunica el acuerdo de sesión 73-2020 del 21 de julio del 2020, artículo LV, donde se conoció las medidas adoptadas por el Juzgado Contravencional de Golfito, en el mar</w:t>
            </w:r>
            <w:r>
              <w:rPr>
                <w:rFonts w:ascii="Arial" w:eastAsia="Times New Roman" w:hAnsi="Arial" w:cs="Arial"/>
                <w:sz w:val="20"/>
                <w:szCs w:val="20"/>
                <w:lang w:eastAsia="es-CR"/>
              </w:rPr>
              <w:t>c</w:t>
            </w:r>
            <w:r w:rsidRPr="00BB53C0">
              <w:rPr>
                <w:rFonts w:ascii="Arial" w:eastAsia="Times New Roman" w:hAnsi="Arial" w:cs="Arial"/>
                <w:sz w:val="20"/>
                <w:szCs w:val="20"/>
                <w:lang w:eastAsia="es-CR"/>
              </w:rPr>
              <w:t>o de la declaratoria de emergencia</w:t>
            </w:r>
            <w:r>
              <w:rPr>
                <w:rFonts w:ascii="Arial" w:eastAsia="Times New Roman" w:hAnsi="Arial" w:cs="Arial"/>
                <w:sz w:val="20"/>
                <w:szCs w:val="20"/>
                <w:lang w:eastAsia="es-CR"/>
              </w:rPr>
              <w:t>.</w:t>
            </w:r>
          </w:p>
        </w:tc>
      </w:tr>
      <w:tr w:rsidR="00356493" w:rsidRPr="00BB53C0" w14:paraId="30C3BFAB" w14:textId="77777777" w:rsidTr="00356493">
        <w:trPr>
          <w:trHeight w:val="1860"/>
        </w:trPr>
        <w:tc>
          <w:tcPr>
            <w:tcW w:w="1520" w:type="dxa"/>
            <w:shd w:val="clear" w:color="auto" w:fill="auto"/>
            <w:vAlign w:val="center"/>
            <w:hideMark/>
          </w:tcPr>
          <w:p w14:paraId="663971A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168-2020</w:t>
            </w:r>
          </w:p>
        </w:tc>
        <w:tc>
          <w:tcPr>
            <w:tcW w:w="8114" w:type="dxa"/>
            <w:shd w:val="clear" w:color="auto" w:fill="auto"/>
            <w:hideMark/>
          </w:tcPr>
          <w:p w14:paraId="44CABD0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la señora Mayra Campos de fecha 05-08-2020, en el cual solicita la inclusión del catálogo de delitos al Código Electoral Ley 8765</w:t>
            </w:r>
            <w:r>
              <w:rPr>
                <w:rFonts w:ascii="Arial" w:eastAsia="Times New Roman" w:hAnsi="Arial" w:cs="Arial"/>
                <w:sz w:val="20"/>
                <w:szCs w:val="20"/>
                <w:lang w:eastAsia="es-CR"/>
              </w:rPr>
              <w:t>.</w:t>
            </w:r>
          </w:p>
        </w:tc>
      </w:tr>
      <w:tr w:rsidR="00356493" w:rsidRPr="00BB53C0" w14:paraId="6158DFF2" w14:textId="77777777" w:rsidTr="00356493">
        <w:trPr>
          <w:trHeight w:val="1860"/>
        </w:trPr>
        <w:tc>
          <w:tcPr>
            <w:tcW w:w="1520" w:type="dxa"/>
            <w:shd w:val="clear" w:color="auto" w:fill="auto"/>
            <w:vAlign w:val="center"/>
            <w:hideMark/>
          </w:tcPr>
          <w:p w14:paraId="609CC71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169-2020</w:t>
            </w:r>
          </w:p>
        </w:tc>
        <w:tc>
          <w:tcPr>
            <w:tcW w:w="8114" w:type="dxa"/>
            <w:shd w:val="clear" w:color="auto" w:fill="auto"/>
            <w:hideMark/>
          </w:tcPr>
          <w:p w14:paraId="798E40C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parte de la Magistrada Sandra Eugenia Zúñiga Morales, mediante el cual remite para conocimiento de la Comisión, el proyecto de Ley Proliferación de armas de destrucción masiva y su financiamiento, así como la propuesta del Ministerio Público.</w:t>
            </w:r>
          </w:p>
        </w:tc>
      </w:tr>
      <w:tr w:rsidR="00356493" w:rsidRPr="00BB53C0" w14:paraId="7FAF45F4" w14:textId="77777777" w:rsidTr="00356493">
        <w:trPr>
          <w:trHeight w:val="1860"/>
        </w:trPr>
        <w:tc>
          <w:tcPr>
            <w:tcW w:w="1520" w:type="dxa"/>
            <w:shd w:val="clear" w:color="auto" w:fill="auto"/>
            <w:vAlign w:val="center"/>
            <w:hideMark/>
          </w:tcPr>
          <w:p w14:paraId="2994414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170-2020</w:t>
            </w:r>
          </w:p>
        </w:tc>
        <w:tc>
          <w:tcPr>
            <w:tcW w:w="8114" w:type="dxa"/>
            <w:shd w:val="clear" w:color="auto" w:fill="auto"/>
            <w:hideMark/>
          </w:tcPr>
          <w:p w14:paraId="3798E5A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Consulta de la Magistrada Damaris Vargas, de fecha 06-08-2020, sobre con personas beneficiarias de las Medidas Cautelares 321-12 de la CIDH contra el Estado. </w:t>
            </w:r>
          </w:p>
        </w:tc>
      </w:tr>
      <w:tr w:rsidR="00356493" w:rsidRPr="00BB53C0" w14:paraId="251D30D2" w14:textId="77777777" w:rsidTr="00356493">
        <w:trPr>
          <w:trHeight w:val="1860"/>
        </w:trPr>
        <w:tc>
          <w:tcPr>
            <w:tcW w:w="1520" w:type="dxa"/>
            <w:shd w:val="clear" w:color="auto" w:fill="auto"/>
            <w:vAlign w:val="center"/>
            <w:hideMark/>
          </w:tcPr>
          <w:p w14:paraId="021B9F6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171-2020</w:t>
            </w:r>
          </w:p>
        </w:tc>
        <w:tc>
          <w:tcPr>
            <w:tcW w:w="8114" w:type="dxa"/>
            <w:shd w:val="clear" w:color="auto" w:fill="auto"/>
            <w:hideMark/>
          </w:tcPr>
          <w:p w14:paraId="78BDD18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7382-2020 de Corte Plena, mediante el cual se comunica lo acordado en sesión 41-2020 del 13 de julio del 2020, artículo V, donde se conoció el oficio CJP113-2020 sobre la inclusión de una persona juzgadora en materia contravencional como integrante de la Comisión. </w:t>
            </w:r>
          </w:p>
        </w:tc>
      </w:tr>
      <w:tr w:rsidR="00356493" w:rsidRPr="00BB53C0" w14:paraId="5965DF1F" w14:textId="77777777" w:rsidTr="00356493">
        <w:trPr>
          <w:trHeight w:val="1860"/>
        </w:trPr>
        <w:tc>
          <w:tcPr>
            <w:tcW w:w="1520" w:type="dxa"/>
            <w:shd w:val="clear" w:color="auto" w:fill="auto"/>
            <w:vAlign w:val="center"/>
            <w:hideMark/>
          </w:tcPr>
          <w:p w14:paraId="6BE6B8F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172-2020</w:t>
            </w:r>
          </w:p>
        </w:tc>
        <w:tc>
          <w:tcPr>
            <w:tcW w:w="8114" w:type="dxa"/>
            <w:shd w:val="clear" w:color="auto" w:fill="auto"/>
            <w:hideMark/>
          </w:tcPr>
          <w:p w14:paraId="0D538D7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289-CACMFJ-JEF-2020 del Centro de Apoyo Coordinación y Mejoramiento de la Función Jurisdiccional, mediante el cual nos remiten el oficio 66-CACMFJ-ACM-2020, del mismo Centro, mediante el cual remiten el informe sobre las labores desempeñadas por los despachos jurisdiccionales en el mar</w:t>
            </w:r>
            <w:r>
              <w:rPr>
                <w:rFonts w:ascii="Arial" w:eastAsia="Times New Roman" w:hAnsi="Arial" w:cs="Arial"/>
                <w:sz w:val="20"/>
                <w:szCs w:val="20"/>
                <w:lang w:eastAsia="es-CR"/>
              </w:rPr>
              <w:t>c</w:t>
            </w:r>
            <w:r w:rsidRPr="00BB53C0">
              <w:rPr>
                <w:rFonts w:ascii="Arial" w:eastAsia="Times New Roman" w:hAnsi="Arial" w:cs="Arial"/>
                <w:sz w:val="20"/>
                <w:szCs w:val="20"/>
                <w:lang w:eastAsia="es-CR"/>
              </w:rPr>
              <w:t>o de la pandemia, en seguimiento de la gestión que realiza la materia contravencional</w:t>
            </w:r>
            <w:r>
              <w:rPr>
                <w:rFonts w:ascii="Arial" w:eastAsia="Times New Roman" w:hAnsi="Arial" w:cs="Arial"/>
                <w:sz w:val="20"/>
                <w:szCs w:val="20"/>
                <w:lang w:eastAsia="es-CR"/>
              </w:rPr>
              <w:t>.</w:t>
            </w:r>
          </w:p>
        </w:tc>
      </w:tr>
      <w:tr w:rsidR="00356493" w:rsidRPr="00BB53C0" w14:paraId="0B4006F9" w14:textId="77777777" w:rsidTr="00356493">
        <w:trPr>
          <w:trHeight w:val="1860"/>
        </w:trPr>
        <w:tc>
          <w:tcPr>
            <w:tcW w:w="1520" w:type="dxa"/>
            <w:shd w:val="clear" w:color="auto" w:fill="auto"/>
            <w:vAlign w:val="center"/>
            <w:hideMark/>
          </w:tcPr>
          <w:p w14:paraId="342D958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173-2020</w:t>
            </w:r>
          </w:p>
        </w:tc>
        <w:tc>
          <w:tcPr>
            <w:tcW w:w="8114" w:type="dxa"/>
            <w:shd w:val="clear" w:color="auto" w:fill="auto"/>
            <w:hideMark/>
          </w:tcPr>
          <w:p w14:paraId="53CD6F9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695-ODCV-20, de la Oficina de Defensa Civil de las Víctimas I CJ San José, mediante el cual remite solicitud de aclaración en cuanto al acto conclusivo- requerimiento fiscal según artículo 114 del C.P.P.</w:t>
            </w:r>
            <w:r>
              <w:rPr>
                <w:rFonts w:ascii="Arial" w:eastAsia="Times New Roman" w:hAnsi="Arial" w:cs="Arial"/>
                <w:sz w:val="20"/>
                <w:szCs w:val="20"/>
                <w:lang w:eastAsia="es-CR"/>
              </w:rPr>
              <w:t>.</w:t>
            </w:r>
          </w:p>
        </w:tc>
      </w:tr>
      <w:tr w:rsidR="00356493" w:rsidRPr="00BB53C0" w14:paraId="5E2A2FD7" w14:textId="77777777" w:rsidTr="00356493">
        <w:trPr>
          <w:trHeight w:val="1860"/>
        </w:trPr>
        <w:tc>
          <w:tcPr>
            <w:tcW w:w="1520" w:type="dxa"/>
            <w:shd w:val="clear" w:color="auto" w:fill="auto"/>
            <w:vAlign w:val="center"/>
            <w:hideMark/>
          </w:tcPr>
          <w:p w14:paraId="32583AA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174-2020</w:t>
            </w:r>
          </w:p>
        </w:tc>
        <w:tc>
          <w:tcPr>
            <w:tcW w:w="8114" w:type="dxa"/>
            <w:shd w:val="clear" w:color="auto" w:fill="auto"/>
            <w:hideMark/>
          </w:tcPr>
          <w:p w14:paraId="7DCDE07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del señor Michael Steve Morales Molina, Juez Coordinador del Juzgado Penal de Grecia, mediante el cual remite un listado de los problemas presentados al momento de realizar las audiencias judiciales con el Ministerio de Justicia.</w:t>
            </w:r>
          </w:p>
        </w:tc>
      </w:tr>
      <w:tr w:rsidR="00356493" w:rsidRPr="00BB53C0" w14:paraId="19BC6E4F" w14:textId="77777777" w:rsidTr="00356493">
        <w:trPr>
          <w:trHeight w:val="1860"/>
        </w:trPr>
        <w:tc>
          <w:tcPr>
            <w:tcW w:w="1520" w:type="dxa"/>
            <w:shd w:val="clear" w:color="auto" w:fill="auto"/>
            <w:vAlign w:val="center"/>
            <w:hideMark/>
          </w:tcPr>
          <w:p w14:paraId="137A44D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175-2020</w:t>
            </w:r>
          </w:p>
        </w:tc>
        <w:tc>
          <w:tcPr>
            <w:tcW w:w="8114" w:type="dxa"/>
            <w:shd w:val="clear" w:color="auto" w:fill="auto"/>
            <w:hideMark/>
          </w:tcPr>
          <w:p w14:paraId="54B0B27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fecha 13-08-2020 de la señora </w:t>
            </w:r>
            <w:proofErr w:type="spellStart"/>
            <w:r w:rsidRPr="00BB53C0">
              <w:rPr>
                <w:rFonts w:ascii="Arial" w:eastAsia="Times New Roman" w:hAnsi="Arial" w:cs="Arial"/>
                <w:sz w:val="20"/>
                <w:szCs w:val="20"/>
                <w:lang w:eastAsia="es-CR"/>
              </w:rPr>
              <w:t>Jeannethe</w:t>
            </w:r>
            <w:proofErr w:type="spellEnd"/>
            <w:r w:rsidRPr="00BB53C0">
              <w:rPr>
                <w:rFonts w:ascii="Arial" w:eastAsia="Times New Roman" w:hAnsi="Arial" w:cs="Arial"/>
                <w:sz w:val="20"/>
                <w:szCs w:val="20"/>
                <w:lang w:eastAsia="es-CR"/>
              </w:rPr>
              <w:t xml:space="preserve"> Mena Rodríguez Jueza del Tribunal de Guápiles, comunicando problema con la saturación de Celdas del OIJ, por motivo del Covid-19.</w:t>
            </w:r>
          </w:p>
        </w:tc>
      </w:tr>
      <w:tr w:rsidR="00356493" w:rsidRPr="00BB53C0" w14:paraId="21393744" w14:textId="77777777" w:rsidTr="00356493">
        <w:trPr>
          <w:trHeight w:val="1860"/>
        </w:trPr>
        <w:tc>
          <w:tcPr>
            <w:tcW w:w="1520" w:type="dxa"/>
            <w:shd w:val="clear" w:color="auto" w:fill="auto"/>
            <w:vAlign w:val="center"/>
            <w:hideMark/>
          </w:tcPr>
          <w:p w14:paraId="6CE07AB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176-2020</w:t>
            </w:r>
          </w:p>
        </w:tc>
        <w:tc>
          <w:tcPr>
            <w:tcW w:w="8114" w:type="dxa"/>
            <w:shd w:val="clear" w:color="auto" w:fill="auto"/>
            <w:hideMark/>
          </w:tcPr>
          <w:p w14:paraId="7AD03975"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7436-2020 del Consejo Superior, comunicando el acuerdo de sesión 72-2020 del 16 de julio del 2020, artículo XLIX, sobre el informe 521-PLA-MI-2020 de la Dirección de Planificación, sobre ampliar el informe relacionado con los resultados de la encuesta de opinión sobre el acceso a la justicia que tiene la población penal juvenil en Upala. </w:t>
            </w:r>
          </w:p>
        </w:tc>
      </w:tr>
      <w:tr w:rsidR="00356493" w:rsidRPr="00BB53C0" w14:paraId="5F535096" w14:textId="77777777" w:rsidTr="00356493">
        <w:trPr>
          <w:trHeight w:val="1860"/>
        </w:trPr>
        <w:tc>
          <w:tcPr>
            <w:tcW w:w="1520" w:type="dxa"/>
            <w:shd w:val="clear" w:color="auto" w:fill="auto"/>
            <w:vAlign w:val="center"/>
            <w:hideMark/>
          </w:tcPr>
          <w:p w14:paraId="2B09E5A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177-2020</w:t>
            </w:r>
          </w:p>
        </w:tc>
        <w:tc>
          <w:tcPr>
            <w:tcW w:w="8114" w:type="dxa"/>
            <w:shd w:val="clear" w:color="auto" w:fill="auto"/>
            <w:hideMark/>
          </w:tcPr>
          <w:p w14:paraId="35BAEE4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7421-2020 del Consejo Superior acuerdo de sesión 74-2020 del 23 de julio de 2020, artículo XXI, mediante el cual se conoció el oficio N° DP-352-2020 de 13 de julio de 2020, remitió la gestión presentada por la licenciada Maricruz Chacón Cubillo, Directora del Centro de Apoyo, Coordinación y Mejoramiento. </w:t>
            </w:r>
          </w:p>
        </w:tc>
      </w:tr>
      <w:tr w:rsidR="00356493" w:rsidRPr="00BB53C0" w14:paraId="2703D48C" w14:textId="77777777" w:rsidTr="00356493">
        <w:trPr>
          <w:trHeight w:val="1860"/>
        </w:trPr>
        <w:tc>
          <w:tcPr>
            <w:tcW w:w="1520" w:type="dxa"/>
            <w:shd w:val="clear" w:color="auto" w:fill="auto"/>
            <w:vAlign w:val="center"/>
            <w:hideMark/>
          </w:tcPr>
          <w:p w14:paraId="1A4778F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178-2020</w:t>
            </w:r>
          </w:p>
        </w:tc>
        <w:tc>
          <w:tcPr>
            <w:tcW w:w="8114" w:type="dxa"/>
            <w:shd w:val="clear" w:color="auto" w:fill="auto"/>
            <w:hideMark/>
          </w:tcPr>
          <w:p w14:paraId="42F75EF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1219-PLA-ES-2020, de la Dirección de Planificación, mediante el cual remiten el informe relacionado con los movimientos de trabajo en los Tribunales de Apelación de Sentencia durante el 2019 y el último quinquenio, dan plazo de 22 días naturales. </w:t>
            </w:r>
          </w:p>
        </w:tc>
      </w:tr>
      <w:tr w:rsidR="00356493" w:rsidRPr="00BB53C0" w14:paraId="2BC222F8" w14:textId="77777777" w:rsidTr="00356493">
        <w:trPr>
          <w:trHeight w:val="1860"/>
        </w:trPr>
        <w:tc>
          <w:tcPr>
            <w:tcW w:w="1520" w:type="dxa"/>
            <w:shd w:val="clear" w:color="auto" w:fill="auto"/>
            <w:vAlign w:val="center"/>
            <w:hideMark/>
          </w:tcPr>
          <w:p w14:paraId="58FDC10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179-2020</w:t>
            </w:r>
          </w:p>
        </w:tc>
        <w:tc>
          <w:tcPr>
            <w:tcW w:w="8114" w:type="dxa"/>
            <w:shd w:val="clear" w:color="auto" w:fill="auto"/>
            <w:hideMark/>
          </w:tcPr>
          <w:p w14:paraId="19E2C59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298-CACMFJ-JEF-2020, mediante el cual remiten el oficio 68-CACMFJ-ACM-2020, sobre la gestión realizada por los despachos de materia contravencional durante el 1 de junio al 3 de julio 2020. </w:t>
            </w:r>
          </w:p>
        </w:tc>
      </w:tr>
      <w:tr w:rsidR="00356493" w:rsidRPr="00BB53C0" w14:paraId="09F0704A" w14:textId="77777777" w:rsidTr="00356493">
        <w:trPr>
          <w:trHeight w:val="1860"/>
        </w:trPr>
        <w:tc>
          <w:tcPr>
            <w:tcW w:w="1520" w:type="dxa"/>
            <w:shd w:val="clear" w:color="auto" w:fill="auto"/>
            <w:vAlign w:val="center"/>
            <w:hideMark/>
          </w:tcPr>
          <w:p w14:paraId="51C44F0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180-2020</w:t>
            </w:r>
          </w:p>
        </w:tc>
        <w:tc>
          <w:tcPr>
            <w:tcW w:w="8114" w:type="dxa"/>
            <w:shd w:val="clear" w:color="auto" w:fill="auto"/>
            <w:hideMark/>
          </w:tcPr>
          <w:p w14:paraId="7318653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7274-2020 del Consejo Superior, acuerdo del 71-2020, del 14 de julio del 2020, artículo XLIII, donde se conoció el oficio 047-CIJ-2019 del Centro de Información de Jurisprudencia la Auditoría Judicial, para la revisión del "Procedimiento para tratar datos personales en las resoluciones que se publican en el PJ"</w:t>
            </w:r>
            <w:r>
              <w:rPr>
                <w:rFonts w:ascii="Arial" w:eastAsia="Times New Roman" w:hAnsi="Arial" w:cs="Arial"/>
                <w:sz w:val="20"/>
                <w:szCs w:val="20"/>
                <w:lang w:eastAsia="es-CR"/>
              </w:rPr>
              <w:t>.</w:t>
            </w:r>
          </w:p>
        </w:tc>
      </w:tr>
      <w:tr w:rsidR="00356493" w:rsidRPr="00BB53C0" w14:paraId="61A340AA" w14:textId="77777777" w:rsidTr="00356493">
        <w:trPr>
          <w:trHeight w:val="1860"/>
        </w:trPr>
        <w:tc>
          <w:tcPr>
            <w:tcW w:w="1520" w:type="dxa"/>
            <w:shd w:val="clear" w:color="auto" w:fill="auto"/>
            <w:vAlign w:val="center"/>
            <w:hideMark/>
          </w:tcPr>
          <w:p w14:paraId="6810711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181-2020</w:t>
            </w:r>
          </w:p>
        </w:tc>
        <w:tc>
          <w:tcPr>
            <w:tcW w:w="8114" w:type="dxa"/>
            <w:shd w:val="clear" w:color="auto" w:fill="auto"/>
            <w:hideMark/>
          </w:tcPr>
          <w:p w14:paraId="59CE7D2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1244-PLA-ES-2020 de la Dirección de Planificación, mediante el cual copia el informe final relacionado con los movimientos de trabajo durante el 2019 y el último quinquenio del Tribunal de Apelación de Sentencia Penal Juvenil del Segundo Circuito Judicial de San José. </w:t>
            </w:r>
          </w:p>
        </w:tc>
      </w:tr>
      <w:tr w:rsidR="00356493" w:rsidRPr="00BB53C0" w14:paraId="437863C7" w14:textId="77777777" w:rsidTr="00356493">
        <w:trPr>
          <w:trHeight w:val="1860"/>
        </w:trPr>
        <w:tc>
          <w:tcPr>
            <w:tcW w:w="1520" w:type="dxa"/>
            <w:shd w:val="clear" w:color="auto" w:fill="auto"/>
            <w:vAlign w:val="center"/>
            <w:hideMark/>
          </w:tcPr>
          <w:p w14:paraId="4EF4A64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182-2020</w:t>
            </w:r>
          </w:p>
        </w:tc>
        <w:tc>
          <w:tcPr>
            <w:tcW w:w="8114" w:type="dxa"/>
            <w:shd w:val="clear" w:color="auto" w:fill="auto"/>
            <w:hideMark/>
          </w:tcPr>
          <w:p w14:paraId="1A9AE60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1231-PLA-ES-2020 de la Dirección de Planificación, mediante el cual remite el informe relacionado con cuadros estadísticos y análisis sobre los movimientos de trabajo en los Juzgados competentes en el Ministerio Público durante el 2019 y el último quinquenio. </w:t>
            </w:r>
          </w:p>
        </w:tc>
      </w:tr>
      <w:tr w:rsidR="00356493" w:rsidRPr="00BB53C0" w14:paraId="28A2095B" w14:textId="77777777" w:rsidTr="00356493">
        <w:trPr>
          <w:trHeight w:val="1860"/>
        </w:trPr>
        <w:tc>
          <w:tcPr>
            <w:tcW w:w="1520" w:type="dxa"/>
            <w:shd w:val="clear" w:color="auto" w:fill="auto"/>
            <w:vAlign w:val="center"/>
            <w:hideMark/>
          </w:tcPr>
          <w:p w14:paraId="7C98A81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183-2020</w:t>
            </w:r>
          </w:p>
        </w:tc>
        <w:tc>
          <w:tcPr>
            <w:tcW w:w="8114" w:type="dxa"/>
            <w:shd w:val="clear" w:color="auto" w:fill="auto"/>
            <w:hideMark/>
          </w:tcPr>
          <w:p w14:paraId="0774D87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1216-PLA-OI-MI-2020, de la Dirección de Planificación, mediante el cual remite el informe relacionado con el conjunto de actividades enfocadas en el abordaje de la Jurisdicción Penal del País, sobre propuesta de Proyecto para el Desarrollo e Implementación del Modelo Estándar Integral del Proceso Penal. </w:t>
            </w:r>
          </w:p>
        </w:tc>
      </w:tr>
      <w:tr w:rsidR="00356493" w:rsidRPr="00BB53C0" w14:paraId="7BF13361" w14:textId="77777777" w:rsidTr="00356493">
        <w:trPr>
          <w:trHeight w:val="1860"/>
        </w:trPr>
        <w:tc>
          <w:tcPr>
            <w:tcW w:w="1520" w:type="dxa"/>
            <w:shd w:val="clear" w:color="auto" w:fill="auto"/>
            <w:vAlign w:val="center"/>
            <w:hideMark/>
          </w:tcPr>
          <w:p w14:paraId="6B4DA8A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184-2020</w:t>
            </w:r>
          </w:p>
        </w:tc>
        <w:tc>
          <w:tcPr>
            <w:tcW w:w="8114" w:type="dxa"/>
            <w:shd w:val="clear" w:color="auto" w:fill="auto"/>
            <w:hideMark/>
          </w:tcPr>
          <w:p w14:paraId="1D4BB1D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7492-2020 del Consejo Superior, mediante el cual comunican el acuerdo de sesión 72-2020 del 16 de julio de 2020, artículo XXV, sobre el informe suscrito por la señora Rebeca Herrera Padilla, de la Unidad de Atención a Personas Sujetas a Monitoreo Electrónico. </w:t>
            </w:r>
          </w:p>
        </w:tc>
      </w:tr>
      <w:tr w:rsidR="00356493" w:rsidRPr="00BB53C0" w14:paraId="33BF9BBE" w14:textId="77777777" w:rsidTr="00356493">
        <w:trPr>
          <w:trHeight w:val="1860"/>
        </w:trPr>
        <w:tc>
          <w:tcPr>
            <w:tcW w:w="1520" w:type="dxa"/>
            <w:shd w:val="clear" w:color="auto" w:fill="auto"/>
            <w:vAlign w:val="center"/>
            <w:hideMark/>
          </w:tcPr>
          <w:p w14:paraId="6F4D00A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185-2020</w:t>
            </w:r>
          </w:p>
        </w:tc>
        <w:tc>
          <w:tcPr>
            <w:tcW w:w="8114" w:type="dxa"/>
            <w:shd w:val="clear" w:color="auto" w:fill="auto"/>
            <w:hideMark/>
          </w:tcPr>
          <w:p w14:paraId="781E0C0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7383-2020 del Corte Plena, conoció en sesión 41-2020 del 13-07-2020 artículo V, designar a un juez contravencional en la Comisión, respuesta a la señora María Solano Gamboa</w:t>
            </w:r>
            <w:r>
              <w:rPr>
                <w:rFonts w:ascii="Arial" w:eastAsia="Times New Roman" w:hAnsi="Arial" w:cs="Arial"/>
                <w:sz w:val="20"/>
                <w:szCs w:val="20"/>
                <w:lang w:eastAsia="es-CR"/>
              </w:rPr>
              <w:t>.</w:t>
            </w:r>
          </w:p>
        </w:tc>
      </w:tr>
      <w:tr w:rsidR="00356493" w:rsidRPr="00BB53C0" w14:paraId="22DEBE74" w14:textId="77777777" w:rsidTr="00356493">
        <w:trPr>
          <w:trHeight w:val="1860"/>
        </w:trPr>
        <w:tc>
          <w:tcPr>
            <w:tcW w:w="1520" w:type="dxa"/>
            <w:shd w:val="clear" w:color="auto" w:fill="auto"/>
            <w:vAlign w:val="center"/>
            <w:hideMark/>
          </w:tcPr>
          <w:p w14:paraId="58C69AF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186-2020</w:t>
            </w:r>
          </w:p>
        </w:tc>
        <w:tc>
          <w:tcPr>
            <w:tcW w:w="8114" w:type="dxa"/>
            <w:shd w:val="clear" w:color="auto" w:fill="auto"/>
            <w:hideMark/>
          </w:tcPr>
          <w:p w14:paraId="5633F8D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1281-PLA-ES-2020, de la Dirección de Planificación, mediante el cual remite el informe relativo a los movimientos de trabajo en los Juzgado en materia contravencional durante el 2019 y el último quinquenio. </w:t>
            </w:r>
          </w:p>
        </w:tc>
      </w:tr>
      <w:tr w:rsidR="00356493" w:rsidRPr="00BB53C0" w14:paraId="08940F37" w14:textId="77777777" w:rsidTr="00356493">
        <w:trPr>
          <w:trHeight w:val="1860"/>
        </w:trPr>
        <w:tc>
          <w:tcPr>
            <w:tcW w:w="1520" w:type="dxa"/>
            <w:shd w:val="clear" w:color="auto" w:fill="auto"/>
            <w:vAlign w:val="center"/>
            <w:hideMark/>
          </w:tcPr>
          <w:p w14:paraId="563D3A4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187-2020</w:t>
            </w:r>
          </w:p>
        </w:tc>
        <w:tc>
          <w:tcPr>
            <w:tcW w:w="8114" w:type="dxa"/>
            <w:shd w:val="clear" w:color="auto" w:fill="auto"/>
            <w:hideMark/>
          </w:tcPr>
          <w:p w14:paraId="05F0F92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señora Mauren Sancho González, mediante el cual remite respuesta del Ministerio de Justicia, en el cual deniegan la solicitud de ubicar a tres detenidos en un mismo centro para la realización de Juicio. Por motivo del Covid-19. </w:t>
            </w:r>
          </w:p>
        </w:tc>
      </w:tr>
      <w:tr w:rsidR="00356493" w:rsidRPr="00BB53C0" w14:paraId="22FB7304" w14:textId="77777777" w:rsidTr="00356493">
        <w:trPr>
          <w:trHeight w:val="1860"/>
        </w:trPr>
        <w:tc>
          <w:tcPr>
            <w:tcW w:w="1520" w:type="dxa"/>
            <w:shd w:val="clear" w:color="auto" w:fill="auto"/>
            <w:vAlign w:val="center"/>
            <w:hideMark/>
          </w:tcPr>
          <w:p w14:paraId="3318589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188-2020</w:t>
            </w:r>
          </w:p>
        </w:tc>
        <w:tc>
          <w:tcPr>
            <w:tcW w:w="8114" w:type="dxa"/>
            <w:shd w:val="clear" w:color="auto" w:fill="auto"/>
            <w:hideMark/>
          </w:tcPr>
          <w:p w14:paraId="480C829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Gestoría en Materia Penal, al respecto de la gestión del suscrito Pedro Méndez Aguilar, juez coordinador del Tribunal Penal de Pavas, en el cual indica la situación que rige el despacho ante la constante suspensión de juicios. </w:t>
            </w:r>
          </w:p>
        </w:tc>
      </w:tr>
      <w:tr w:rsidR="00356493" w:rsidRPr="00BB53C0" w14:paraId="621F961A" w14:textId="77777777" w:rsidTr="00356493">
        <w:trPr>
          <w:trHeight w:val="1860"/>
        </w:trPr>
        <w:tc>
          <w:tcPr>
            <w:tcW w:w="1520" w:type="dxa"/>
            <w:shd w:val="clear" w:color="auto" w:fill="auto"/>
            <w:vAlign w:val="center"/>
            <w:hideMark/>
          </w:tcPr>
          <w:p w14:paraId="237819D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189-2020</w:t>
            </w:r>
          </w:p>
        </w:tc>
        <w:tc>
          <w:tcPr>
            <w:tcW w:w="8114" w:type="dxa"/>
            <w:shd w:val="clear" w:color="auto" w:fill="auto"/>
            <w:hideMark/>
          </w:tcPr>
          <w:p w14:paraId="518478E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Luis Albino Rodríguez Cruz, Juez Coordinador del Tribunal Penal de Limón, en el cual traslada la inquietud por el nombramiento de un juez tramitador, para la realización de juicios unipersonales, en la zona de Talamanca, y el riesgo de prescripción. </w:t>
            </w:r>
          </w:p>
        </w:tc>
      </w:tr>
      <w:tr w:rsidR="00356493" w:rsidRPr="00BB53C0" w14:paraId="337BD61A" w14:textId="77777777" w:rsidTr="00356493">
        <w:trPr>
          <w:trHeight w:val="1860"/>
        </w:trPr>
        <w:tc>
          <w:tcPr>
            <w:tcW w:w="1520" w:type="dxa"/>
            <w:shd w:val="clear" w:color="auto" w:fill="auto"/>
            <w:vAlign w:val="center"/>
            <w:hideMark/>
          </w:tcPr>
          <w:p w14:paraId="70CE4F4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190-2020</w:t>
            </w:r>
          </w:p>
        </w:tc>
        <w:tc>
          <w:tcPr>
            <w:tcW w:w="8114" w:type="dxa"/>
            <w:shd w:val="clear" w:color="auto" w:fill="auto"/>
            <w:hideMark/>
          </w:tcPr>
          <w:p w14:paraId="35C3CC2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Correo de la señora Jazmín Castillo Cubero Jueza Contravencional de Cartago, de fecha 25-08-2020, solicitando el criterio de la Comisión sobre la definición de competencia funcional</w:t>
            </w:r>
            <w:r>
              <w:rPr>
                <w:rFonts w:ascii="Arial" w:eastAsia="Times New Roman" w:hAnsi="Arial" w:cs="Arial"/>
                <w:sz w:val="20"/>
                <w:szCs w:val="20"/>
                <w:lang w:eastAsia="es-CR"/>
              </w:rPr>
              <w:t>.</w:t>
            </w:r>
          </w:p>
        </w:tc>
      </w:tr>
      <w:tr w:rsidR="00356493" w:rsidRPr="00BB53C0" w14:paraId="5861A789" w14:textId="77777777" w:rsidTr="00356493">
        <w:trPr>
          <w:trHeight w:val="1860"/>
        </w:trPr>
        <w:tc>
          <w:tcPr>
            <w:tcW w:w="1520" w:type="dxa"/>
            <w:shd w:val="clear" w:color="auto" w:fill="auto"/>
            <w:vAlign w:val="center"/>
            <w:hideMark/>
          </w:tcPr>
          <w:p w14:paraId="30D1666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191-2020</w:t>
            </w:r>
          </w:p>
        </w:tc>
        <w:tc>
          <w:tcPr>
            <w:tcW w:w="8114" w:type="dxa"/>
            <w:shd w:val="clear" w:color="auto" w:fill="auto"/>
            <w:hideMark/>
          </w:tcPr>
          <w:p w14:paraId="6C5372A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1303-PLA-2020 de la Dirección de Planificación, sobre circular 52-2020 emitida por la Corte Plena y las limitaciones presupuestarias, así como la cantidad de recurso ordinario que disponen que les limita la realización de los juicios colegiados, y que en el caso particular de los Tribunales de Apelación de la Sentencia Penal de San Ramón y Santa Cruz. </w:t>
            </w:r>
          </w:p>
        </w:tc>
      </w:tr>
      <w:tr w:rsidR="00356493" w:rsidRPr="00BB53C0" w14:paraId="5616D71F" w14:textId="77777777" w:rsidTr="00356493">
        <w:trPr>
          <w:trHeight w:val="1860"/>
        </w:trPr>
        <w:tc>
          <w:tcPr>
            <w:tcW w:w="1520" w:type="dxa"/>
            <w:shd w:val="clear" w:color="auto" w:fill="auto"/>
            <w:vAlign w:val="center"/>
            <w:hideMark/>
          </w:tcPr>
          <w:p w14:paraId="3565282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192-2020</w:t>
            </w:r>
          </w:p>
        </w:tc>
        <w:tc>
          <w:tcPr>
            <w:tcW w:w="8114" w:type="dxa"/>
            <w:shd w:val="clear" w:color="auto" w:fill="auto"/>
            <w:hideMark/>
          </w:tcPr>
          <w:p w14:paraId="04C35EC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 la Mag. Damaris Vargas Vásquez, sobre distorsiones sobre el abordaje del tema relacionado con "recuperación de tierras por parte de las personas indígenas", solicita el criterio de la Comisión. </w:t>
            </w:r>
          </w:p>
        </w:tc>
      </w:tr>
      <w:tr w:rsidR="00356493" w:rsidRPr="00BB53C0" w14:paraId="42335EFF" w14:textId="77777777" w:rsidTr="00356493">
        <w:trPr>
          <w:trHeight w:val="1860"/>
        </w:trPr>
        <w:tc>
          <w:tcPr>
            <w:tcW w:w="1520" w:type="dxa"/>
            <w:shd w:val="clear" w:color="auto" w:fill="auto"/>
            <w:vAlign w:val="center"/>
            <w:hideMark/>
          </w:tcPr>
          <w:p w14:paraId="4547A54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193-2020</w:t>
            </w:r>
          </w:p>
        </w:tc>
        <w:tc>
          <w:tcPr>
            <w:tcW w:w="8114" w:type="dxa"/>
            <w:shd w:val="clear" w:color="auto" w:fill="auto"/>
            <w:hideMark/>
          </w:tcPr>
          <w:p w14:paraId="689BF5D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7980-2020 del Consejo Superior, mediante el cual comunica el acuerdo de sesión 78-2020 de 6 de agosto del 2020, artículo XXXVII, sobre la eliminación masiva de expedientes en el archivo Judicial, para que un integrante de la Comisión integre una comisión especial para abordar la problemática. </w:t>
            </w:r>
          </w:p>
        </w:tc>
      </w:tr>
      <w:tr w:rsidR="00356493" w:rsidRPr="00BB53C0" w14:paraId="1101A823" w14:textId="77777777" w:rsidTr="00356493">
        <w:trPr>
          <w:trHeight w:val="1860"/>
        </w:trPr>
        <w:tc>
          <w:tcPr>
            <w:tcW w:w="1520" w:type="dxa"/>
            <w:shd w:val="clear" w:color="auto" w:fill="auto"/>
            <w:vAlign w:val="center"/>
            <w:hideMark/>
          </w:tcPr>
          <w:p w14:paraId="47D03C5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194-2020</w:t>
            </w:r>
          </w:p>
        </w:tc>
        <w:tc>
          <w:tcPr>
            <w:tcW w:w="8114" w:type="dxa"/>
            <w:shd w:val="clear" w:color="auto" w:fill="auto"/>
            <w:hideMark/>
          </w:tcPr>
          <w:p w14:paraId="1AA6EDE8"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1337-PLA-PE-2020, de la Dirección de Planificación, relacionado con el plan de acción para la continuidad de los servicios judiciales como respuesta al impacto de la emergencia nacional COVID-19.  </w:t>
            </w:r>
          </w:p>
        </w:tc>
      </w:tr>
      <w:tr w:rsidR="00356493" w:rsidRPr="00BB53C0" w14:paraId="51345EA7" w14:textId="77777777" w:rsidTr="00356493">
        <w:trPr>
          <w:trHeight w:val="1860"/>
        </w:trPr>
        <w:tc>
          <w:tcPr>
            <w:tcW w:w="1520" w:type="dxa"/>
            <w:shd w:val="clear" w:color="auto" w:fill="auto"/>
            <w:vAlign w:val="center"/>
            <w:hideMark/>
          </w:tcPr>
          <w:p w14:paraId="079C0BC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195-2020</w:t>
            </w:r>
          </w:p>
        </w:tc>
        <w:tc>
          <w:tcPr>
            <w:tcW w:w="8114" w:type="dxa"/>
            <w:shd w:val="clear" w:color="auto" w:fill="auto"/>
            <w:hideMark/>
          </w:tcPr>
          <w:p w14:paraId="087D7D1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1351-PLA-OI-2020, de la Dirección de Planificación, relacionado con la revisión de las cuotas establecidas a los Tribunales de Apelación de Sentencia Penal</w:t>
            </w:r>
            <w:r>
              <w:rPr>
                <w:rFonts w:ascii="Arial" w:eastAsia="Times New Roman" w:hAnsi="Arial" w:cs="Arial"/>
                <w:sz w:val="20"/>
                <w:szCs w:val="20"/>
                <w:lang w:eastAsia="es-CR"/>
              </w:rPr>
              <w:t>.</w:t>
            </w:r>
          </w:p>
        </w:tc>
      </w:tr>
      <w:tr w:rsidR="00356493" w:rsidRPr="00BB53C0" w14:paraId="68ABFB61" w14:textId="77777777" w:rsidTr="00356493">
        <w:trPr>
          <w:trHeight w:val="1860"/>
        </w:trPr>
        <w:tc>
          <w:tcPr>
            <w:tcW w:w="1520" w:type="dxa"/>
            <w:shd w:val="clear" w:color="auto" w:fill="auto"/>
            <w:vAlign w:val="center"/>
            <w:hideMark/>
          </w:tcPr>
          <w:p w14:paraId="6120063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196-2020</w:t>
            </w:r>
          </w:p>
        </w:tc>
        <w:tc>
          <w:tcPr>
            <w:tcW w:w="8114" w:type="dxa"/>
            <w:shd w:val="clear" w:color="auto" w:fill="auto"/>
            <w:hideMark/>
          </w:tcPr>
          <w:p w14:paraId="249AFB6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671-SG/OIJ-2020 de la Dirección del OIJ, mediante el cual comunican problemática con el Ministerio de Justicia, por la no recepción de personas detenidas. </w:t>
            </w:r>
          </w:p>
        </w:tc>
      </w:tr>
      <w:tr w:rsidR="00356493" w:rsidRPr="00BB53C0" w14:paraId="198C67BC" w14:textId="77777777" w:rsidTr="00356493">
        <w:trPr>
          <w:trHeight w:val="1860"/>
        </w:trPr>
        <w:tc>
          <w:tcPr>
            <w:tcW w:w="1520" w:type="dxa"/>
            <w:shd w:val="clear" w:color="auto" w:fill="auto"/>
            <w:vAlign w:val="center"/>
            <w:hideMark/>
          </w:tcPr>
          <w:p w14:paraId="28D7AB5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197-2020</w:t>
            </w:r>
          </w:p>
        </w:tc>
        <w:tc>
          <w:tcPr>
            <w:tcW w:w="8114" w:type="dxa"/>
            <w:shd w:val="clear" w:color="auto" w:fill="auto"/>
            <w:hideMark/>
          </w:tcPr>
          <w:p w14:paraId="74D48F5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8179-2020 del Consejo Superior, mediante el cual se comunica acuerdo de sesión 80-2020 del 14 de agosto de 2020, artículo XLVII, en relación al oficio CJP165-2020 sobre los asuntos de vieja data</w:t>
            </w:r>
            <w:r>
              <w:rPr>
                <w:rFonts w:ascii="Arial" w:eastAsia="Times New Roman" w:hAnsi="Arial" w:cs="Arial"/>
                <w:sz w:val="20"/>
                <w:szCs w:val="20"/>
                <w:lang w:eastAsia="es-CR"/>
              </w:rPr>
              <w:t>.</w:t>
            </w:r>
          </w:p>
        </w:tc>
      </w:tr>
      <w:tr w:rsidR="00356493" w:rsidRPr="00BB53C0" w14:paraId="04F7C8C7" w14:textId="77777777" w:rsidTr="00356493">
        <w:trPr>
          <w:trHeight w:val="1860"/>
        </w:trPr>
        <w:tc>
          <w:tcPr>
            <w:tcW w:w="1520" w:type="dxa"/>
            <w:shd w:val="clear" w:color="auto" w:fill="auto"/>
            <w:vAlign w:val="center"/>
            <w:hideMark/>
          </w:tcPr>
          <w:p w14:paraId="3A744A7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198-2020</w:t>
            </w:r>
          </w:p>
        </w:tc>
        <w:tc>
          <w:tcPr>
            <w:tcW w:w="8114" w:type="dxa"/>
            <w:shd w:val="clear" w:color="auto" w:fill="auto"/>
            <w:hideMark/>
          </w:tcPr>
          <w:p w14:paraId="1A59E01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1370-PLA-OI-2020, de la Dirección de Planificación, mediante el cual se remite la respuesta a la consulta de la realización de un informe que logre determinar la forma en la que debe funcionar las distintas secciones de flagrancia</w:t>
            </w:r>
            <w:r>
              <w:rPr>
                <w:rFonts w:ascii="Arial" w:eastAsia="Times New Roman" w:hAnsi="Arial" w:cs="Arial"/>
                <w:sz w:val="20"/>
                <w:szCs w:val="20"/>
                <w:lang w:eastAsia="es-CR"/>
              </w:rPr>
              <w:t>.</w:t>
            </w:r>
          </w:p>
        </w:tc>
      </w:tr>
      <w:tr w:rsidR="00356493" w:rsidRPr="00BB53C0" w14:paraId="58E98AAF" w14:textId="77777777" w:rsidTr="00356493">
        <w:trPr>
          <w:trHeight w:val="1860"/>
        </w:trPr>
        <w:tc>
          <w:tcPr>
            <w:tcW w:w="1520" w:type="dxa"/>
            <w:shd w:val="clear" w:color="auto" w:fill="auto"/>
            <w:vAlign w:val="center"/>
            <w:hideMark/>
          </w:tcPr>
          <w:p w14:paraId="30DE20A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199-2020</w:t>
            </w:r>
          </w:p>
        </w:tc>
        <w:tc>
          <w:tcPr>
            <w:tcW w:w="8114" w:type="dxa"/>
            <w:shd w:val="clear" w:color="auto" w:fill="auto"/>
            <w:hideMark/>
          </w:tcPr>
          <w:p w14:paraId="5497A6D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1385-PLA-2020 / 331-CACMFJ-JEF-2020 de la Dirección de Planificación, mediante el cual remite copia del oficio a Corte Plena, respecto del seguimiento de las materias y los resultados del mes de junio, julio y un análisis comparativo, de los servicios durante la emergencia. </w:t>
            </w:r>
          </w:p>
        </w:tc>
      </w:tr>
      <w:tr w:rsidR="00356493" w:rsidRPr="00BB53C0" w14:paraId="67A743C1" w14:textId="77777777" w:rsidTr="00356493">
        <w:trPr>
          <w:trHeight w:val="1860"/>
        </w:trPr>
        <w:tc>
          <w:tcPr>
            <w:tcW w:w="1520" w:type="dxa"/>
            <w:shd w:val="clear" w:color="auto" w:fill="auto"/>
            <w:vAlign w:val="center"/>
            <w:hideMark/>
          </w:tcPr>
          <w:p w14:paraId="127A34F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200-2020</w:t>
            </w:r>
          </w:p>
        </w:tc>
        <w:tc>
          <w:tcPr>
            <w:tcW w:w="8114" w:type="dxa"/>
            <w:shd w:val="clear" w:color="auto" w:fill="auto"/>
            <w:hideMark/>
          </w:tcPr>
          <w:p w14:paraId="754EB5F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8146-2020 del Consejo Superior, mediante el cual remiten el acuerdo de sesión 79-2020 del 11 de agosto de 2020, artículo XXXVIII, donde se conoció el informe 1108-PLA-OI-2020. Se dispuso, solicitar criterio a la Comisión que permita el mejor funcionamiento del sistema judicial. </w:t>
            </w:r>
          </w:p>
        </w:tc>
      </w:tr>
      <w:tr w:rsidR="00356493" w:rsidRPr="00BB53C0" w14:paraId="2BA61897" w14:textId="77777777" w:rsidTr="00356493">
        <w:trPr>
          <w:trHeight w:val="1860"/>
        </w:trPr>
        <w:tc>
          <w:tcPr>
            <w:tcW w:w="1520" w:type="dxa"/>
            <w:shd w:val="clear" w:color="auto" w:fill="auto"/>
            <w:vAlign w:val="center"/>
            <w:hideMark/>
          </w:tcPr>
          <w:p w14:paraId="16DF358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201-2020</w:t>
            </w:r>
          </w:p>
        </w:tc>
        <w:tc>
          <w:tcPr>
            <w:tcW w:w="8114" w:type="dxa"/>
            <w:shd w:val="clear" w:color="auto" w:fill="auto"/>
            <w:hideMark/>
          </w:tcPr>
          <w:p w14:paraId="0C1563E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7696-2020 de Corte Plena, mediante el cual comunican acuerdo de sesión 42-2020 del 20 de julio del 2020, artículo XVI, en el cual se solicitar a cada una de las Comisiones existentes en la actualidad, informen a esta Corte sobre su efectiva vigencia, así como de la necesidad de continuar operando en atención al cumplimiento de los fines que orientaron su creación. </w:t>
            </w:r>
          </w:p>
        </w:tc>
      </w:tr>
      <w:tr w:rsidR="00356493" w:rsidRPr="00BB53C0" w14:paraId="480AAC35" w14:textId="77777777" w:rsidTr="00356493">
        <w:trPr>
          <w:trHeight w:val="1860"/>
        </w:trPr>
        <w:tc>
          <w:tcPr>
            <w:tcW w:w="1520" w:type="dxa"/>
            <w:shd w:val="clear" w:color="auto" w:fill="auto"/>
            <w:vAlign w:val="center"/>
            <w:hideMark/>
          </w:tcPr>
          <w:p w14:paraId="1E0A2EE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202-2020</w:t>
            </w:r>
          </w:p>
        </w:tc>
        <w:tc>
          <w:tcPr>
            <w:tcW w:w="8114" w:type="dxa"/>
            <w:shd w:val="clear" w:color="auto" w:fill="auto"/>
            <w:hideMark/>
          </w:tcPr>
          <w:p w14:paraId="07B50EE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192-FAI-2020 de la Fiscalía de Asuntos Indígenas, en respuesta al oficio CJP180-2020, sobre el cumplimiento de la medida cautelar 321-12 de la CIDH</w:t>
            </w:r>
            <w:r>
              <w:rPr>
                <w:rFonts w:ascii="Arial" w:eastAsia="Times New Roman" w:hAnsi="Arial" w:cs="Arial"/>
                <w:sz w:val="20"/>
                <w:szCs w:val="20"/>
                <w:lang w:eastAsia="es-CR"/>
              </w:rPr>
              <w:t>.</w:t>
            </w:r>
          </w:p>
        </w:tc>
      </w:tr>
      <w:tr w:rsidR="00356493" w:rsidRPr="00BB53C0" w14:paraId="64A44790" w14:textId="77777777" w:rsidTr="00356493">
        <w:trPr>
          <w:trHeight w:val="1860"/>
        </w:trPr>
        <w:tc>
          <w:tcPr>
            <w:tcW w:w="1520" w:type="dxa"/>
            <w:shd w:val="clear" w:color="auto" w:fill="auto"/>
            <w:vAlign w:val="center"/>
            <w:hideMark/>
          </w:tcPr>
          <w:p w14:paraId="5C7D4EB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203-2020</w:t>
            </w:r>
          </w:p>
        </w:tc>
        <w:tc>
          <w:tcPr>
            <w:tcW w:w="8114" w:type="dxa"/>
            <w:shd w:val="clear" w:color="auto" w:fill="auto"/>
            <w:hideMark/>
          </w:tcPr>
          <w:p w14:paraId="4E42683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Edgar Ramírez Villalobos, trasladando la problemática con el Tribunal Penal de Osa, por el señalamiento de varios juicios y la falta de fiscales. </w:t>
            </w:r>
          </w:p>
        </w:tc>
      </w:tr>
      <w:tr w:rsidR="00356493" w:rsidRPr="00BB53C0" w14:paraId="409B0EAE" w14:textId="77777777" w:rsidTr="00356493">
        <w:trPr>
          <w:trHeight w:val="1860"/>
        </w:trPr>
        <w:tc>
          <w:tcPr>
            <w:tcW w:w="1520" w:type="dxa"/>
            <w:shd w:val="clear" w:color="auto" w:fill="auto"/>
            <w:vAlign w:val="center"/>
            <w:hideMark/>
          </w:tcPr>
          <w:p w14:paraId="0D5A53C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204-2020</w:t>
            </w:r>
          </w:p>
        </w:tc>
        <w:tc>
          <w:tcPr>
            <w:tcW w:w="8114" w:type="dxa"/>
            <w:shd w:val="clear" w:color="auto" w:fill="auto"/>
            <w:hideMark/>
          </w:tcPr>
          <w:p w14:paraId="5D4BD0E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8360-2020 del Consejo Superior, comunicando acuerdo de sesión 86-2020 del 3 de setiembre de 2020, artículo XXVIII, en el cual se conoce el oficio CJP169-2020, mediante el cual se comunica a los coordinadores, la no saturación de Celdas. </w:t>
            </w:r>
          </w:p>
        </w:tc>
      </w:tr>
      <w:tr w:rsidR="00356493" w:rsidRPr="00BB53C0" w14:paraId="212C49E6" w14:textId="77777777" w:rsidTr="00356493">
        <w:trPr>
          <w:trHeight w:val="1860"/>
        </w:trPr>
        <w:tc>
          <w:tcPr>
            <w:tcW w:w="1520" w:type="dxa"/>
            <w:shd w:val="clear" w:color="auto" w:fill="auto"/>
            <w:vAlign w:val="center"/>
            <w:hideMark/>
          </w:tcPr>
          <w:p w14:paraId="178F095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205-2020</w:t>
            </w:r>
          </w:p>
        </w:tc>
        <w:tc>
          <w:tcPr>
            <w:tcW w:w="8114" w:type="dxa"/>
            <w:shd w:val="clear" w:color="auto" w:fill="auto"/>
            <w:hideMark/>
          </w:tcPr>
          <w:p w14:paraId="65665087"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8522-2020 del Consejo Superior, comunicando acuerdo de sesión 83-2020 del 25 de agosto de 2020, artículo XII, comunicando problemática con la disminución de espacio en celdas por motivo del distanciamiento sanitario, se hace de conocimiento de la comisión. </w:t>
            </w:r>
          </w:p>
        </w:tc>
      </w:tr>
      <w:tr w:rsidR="00356493" w:rsidRPr="00BB53C0" w14:paraId="5463482E" w14:textId="77777777" w:rsidTr="00356493">
        <w:trPr>
          <w:trHeight w:val="1860"/>
        </w:trPr>
        <w:tc>
          <w:tcPr>
            <w:tcW w:w="1520" w:type="dxa"/>
            <w:shd w:val="clear" w:color="auto" w:fill="auto"/>
            <w:vAlign w:val="center"/>
            <w:hideMark/>
          </w:tcPr>
          <w:p w14:paraId="3B1BC3E3"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206-2020</w:t>
            </w:r>
          </w:p>
        </w:tc>
        <w:tc>
          <w:tcPr>
            <w:tcW w:w="8114" w:type="dxa"/>
            <w:shd w:val="clear" w:color="auto" w:fill="auto"/>
            <w:hideMark/>
          </w:tcPr>
          <w:p w14:paraId="3336B24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15-09-2020 del señor Andrés Olsen Villegas, con respecto a problemática en las desestimaciones solicitadas por el Ministerio Público de Cartago, y el Tribunal de Flagrancia. </w:t>
            </w:r>
          </w:p>
        </w:tc>
      </w:tr>
      <w:tr w:rsidR="00356493" w:rsidRPr="00BB53C0" w14:paraId="0A8F0E9F" w14:textId="77777777" w:rsidTr="00356493">
        <w:trPr>
          <w:trHeight w:val="1860"/>
        </w:trPr>
        <w:tc>
          <w:tcPr>
            <w:tcW w:w="1520" w:type="dxa"/>
            <w:shd w:val="clear" w:color="auto" w:fill="auto"/>
            <w:vAlign w:val="center"/>
            <w:hideMark/>
          </w:tcPr>
          <w:p w14:paraId="7FD4F17C"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207-2020</w:t>
            </w:r>
          </w:p>
        </w:tc>
        <w:tc>
          <w:tcPr>
            <w:tcW w:w="8114" w:type="dxa"/>
            <w:shd w:val="clear" w:color="auto" w:fill="auto"/>
            <w:hideMark/>
          </w:tcPr>
          <w:p w14:paraId="27412E0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1433-PLA-OI-2020, de la Dirección de Planificación, con respecto al informe del rediseño del proceso penal del Tribunal Penal de Limón. </w:t>
            </w:r>
          </w:p>
        </w:tc>
      </w:tr>
      <w:tr w:rsidR="00356493" w:rsidRPr="00BB53C0" w14:paraId="59ED19E1" w14:textId="77777777" w:rsidTr="00356493">
        <w:trPr>
          <w:trHeight w:val="1860"/>
        </w:trPr>
        <w:tc>
          <w:tcPr>
            <w:tcW w:w="1520" w:type="dxa"/>
            <w:shd w:val="clear" w:color="auto" w:fill="auto"/>
            <w:vAlign w:val="center"/>
            <w:hideMark/>
          </w:tcPr>
          <w:p w14:paraId="2D30A1F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208-2020</w:t>
            </w:r>
          </w:p>
        </w:tc>
        <w:tc>
          <w:tcPr>
            <w:tcW w:w="8114" w:type="dxa"/>
            <w:shd w:val="clear" w:color="auto" w:fill="auto"/>
            <w:hideMark/>
          </w:tcPr>
          <w:p w14:paraId="3DC216A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1434-PLA-OI-2020 de la Dirección de Planificación, con respecto al informe del rediseño del proceso penal del Juzgado Penal de Talamanca.</w:t>
            </w:r>
          </w:p>
        </w:tc>
      </w:tr>
      <w:tr w:rsidR="00356493" w:rsidRPr="00BB53C0" w14:paraId="1476C9BC" w14:textId="77777777" w:rsidTr="00356493">
        <w:trPr>
          <w:trHeight w:val="1860"/>
        </w:trPr>
        <w:tc>
          <w:tcPr>
            <w:tcW w:w="1520" w:type="dxa"/>
            <w:shd w:val="clear" w:color="auto" w:fill="auto"/>
            <w:vAlign w:val="center"/>
            <w:hideMark/>
          </w:tcPr>
          <w:p w14:paraId="7806B29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209-2020</w:t>
            </w:r>
          </w:p>
        </w:tc>
        <w:tc>
          <w:tcPr>
            <w:tcW w:w="8114" w:type="dxa"/>
            <w:shd w:val="clear" w:color="auto" w:fill="auto"/>
            <w:hideMark/>
          </w:tcPr>
          <w:p w14:paraId="33FD38B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8592-2020, del Consejo Superior, mediante el cual remite el acuerdo de sesión 85-2020, del 1 de setiembre de 2020, artículo X, relacionado con Recordar a todos los despachos judiciales del país que tramitan materia penal, la obligación de realizar una adecuada coordinación para que se cumplan de manera estricta las medidas sanitarias en todas las actuaciones que se realicen, tomando en consideración los protocolos y lineamientos emitidos por el Ministerio de Salud, la Corte Plena y este Consejo Superior. </w:t>
            </w:r>
          </w:p>
        </w:tc>
      </w:tr>
      <w:tr w:rsidR="00356493" w:rsidRPr="00BB53C0" w14:paraId="70F34D74" w14:textId="77777777" w:rsidTr="00356493">
        <w:trPr>
          <w:trHeight w:val="1860"/>
        </w:trPr>
        <w:tc>
          <w:tcPr>
            <w:tcW w:w="1520" w:type="dxa"/>
            <w:shd w:val="clear" w:color="auto" w:fill="auto"/>
            <w:vAlign w:val="center"/>
            <w:hideMark/>
          </w:tcPr>
          <w:p w14:paraId="2C25FCAD"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210-2020</w:t>
            </w:r>
          </w:p>
        </w:tc>
        <w:tc>
          <w:tcPr>
            <w:tcW w:w="8114" w:type="dxa"/>
            <w:shd w:val="clear" w:color="auto" w:fill="auto"/>
            <w:hideMark/>
          </w:tcPr>
          <w:p w14:paraId="485B4859"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1468-PLA-ES-2020, de la Dirección de Planificación, mediante el cual remite el informe con respecto al oficio 3160-15, relacionado con estadísticas cualitativas y cuantitativas para las variables audiencias y sentencias de tipo tanto orales como escritas en los Juzgados y Tribunales Penales</w:t>
            </w:r>
            <w:r>
              <w:rPr>
                <w:rFonts w:ascii="Arial" w:eastAsia="Times New Roman" w:hAnsi="Arial" w:cs="Arial"/>
                <w:sz w:val="20"/>
                <w:szCs w:val="20"/>
                <w:lang w:eastAsia="es-CR"/>
              </w:rPr>
              <w:t>.</w:t>
            </w:r>
          </w:p>
        </w:tc>
      </w:tr>
      <w:tr w:rsidR="00356493" w:rsidRPr="00BB53C0" w14:paraId="0C766757" w14:textId="77777777" w:rsidTr="00356493">
        <w:trPr>
          <w:trHeight w:val="1860"/>
        </w:trPr>
        <w:tc>
          <w:tcPr>
            <w:tcW w:w="1520" w:type="dxa"/>
            <w:shd w:val="clear" w:color="auto" w:fill="auto"/>
            <w:vAlign w:val="center"/>
            <w:hideMark/>
          </w:tcPr>
          <w:p w14:paraId="40EF542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211-2020</w:t>
            </w:r>
          </w:p>
        </w:tc>
        <w:tc>
          <w:tcPr>
            <w:tcW w:w="8114" w:type="dxa"/>
            <w:shd w:val="clear" w:color="auto" w:fill="auto"/>
            <w:hideMark/>
          </w:tcPr>
          <w:p w14:paraId="387C1D2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Carlos Eduardo Arias Córdoba, de fecha 24 de agosto de 2020, mediante el cual solicita el criterio de la Comisión, sobre el criterio jurídico usado por los jueces, para otorgar a las partes en las audiencias orales el espacio de 10 a 15 minutos para exponer sus alegatos. </w:t>
            </w:r>
          </w:p>
        </w:tc>
      </w:tr>
      <w:tr w:rsidR="00356493" w:rsidRPr="00BB53C0" w14:paraId="101FE5D4" w14:textId="77777777" w:rsidTr="00356493">
        <w:trPr>
          <w:trHeight w:val="1860"/>
        </w:trPr>
        <w:tc>
          <w:tcPr>
            <w:tcW w:w="1520" w:type="dxa"/>
            <w:shd w:val="clear" w:color="auto" w:fill="auto"/>
            <w:vAlign w:val="center"/>
            <w:hideMark/>
          </w:tcPr>
          <w:p w14:paraId="35671AB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212-2020</w:t>
            </w:r>
          </w:p>
        </w:tc>
        <w:tc>
          <w:tcPr>
            <w:tcW w:w="8114" w:type="dxa"/>
            <w:shd w:val="clear" w:color="auto" w:fill="auto"/>
            <w:hideMark/>
          </w:tcPr>
          <w:p w14:paraId="4F79D65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8814-2020 del Consejo Superior, mediante el cual comunica el acuerdo de sesión 88-2020, del pasado 10 de setiembre de 2020, artículo XXXIII, donde se conoció el tema del estudio realizado con el objeto de obtener los insumos complementarios, requeridos para ponderar la carga de trabajo del personal de las fiscalías penales, generada por la atención de las causas asignadas en las que intervienen personas indígenas. </w:t>
            </w:r>
          </w:p>
        </w:tc>
      </w:tr>
      <w:tr w:rsidR="00356493" w:rsidRPr="00BB53C0" w14:paraId="4B76F719" w14:textId="77777777" w:rsidTr="00356493">
        <w:trPr>
          <w:trHeight w:val="1860"/>
        </w:trPr>
        <w:tc>
          <w:tcPr>
            <w:tcW w:w="1520" w:type="dxa"/>
            <w:shd w:val="clear" w:color="auto" w:fill="auto"/>
            <w:vAlign w:val="center"/>
            <w:hideMark/>
          </w:tcPr>
          <w:p w14:paraId="32C0A7E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213-2020</w:t>
            </w:r>
          </w:p>
        </w:tc>
        <w:tc>
          <w:tcPr>
            <w:tcW w:w="8114" w:type="dxa"/>
            <w:shd w:val="clear" w:color="auto" w:fill="auto"/>
            <w:hideMark/>
          </w:tcPr>
          <w:p w14:paraId="23F6BB2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1490-PLA-MI-2020, de la Dirección de Planificación, mediante el cual remite al Consejo Superior, el informe suscrito por la Inga. Elena Gabriela Picado González, Jefa a.i. del Subproceso de Modernización Institucional, relacionado con el resumen de los antecedentes y situación actual respecto a las plazas de Custodias y Custodios de personas detenidas para analizar el movimiento de estas plazas. </w:t>
            </w:r>
          </w:p>
        </w:tc>
      </w:tr>
      <w:tr w:rsidR="00356493" w:rsidRPr="00BB53C0" w14:paraId="1771E99F" w14:textId="77777777" w:rsidTr="00356493">
        <w:trPr>
          <w:trHeight w:val="1860"/>
        </w:trPr>
        <w:tc>
          <w:tcPr>
            <w:tcW w:w="1520" w:type="dxa"/>
            <w:shd w:val="clear" w:color="auto" w:fill="auto"/>
            <w:vAlign w:val="center"/>
            <w:hideMark/>
          </w:tcPr>
          <w:p w14:paraId="2DF266C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214-2020</w:t>
            </w:r>
          </w:p>
        </w:tc>
        <w:tc>
          <w:tcPr>
            <w:tcW w:w="8114" w:type="dxa"/>
            <w:shd w:val="clear" w:color="auto" w:fill="auto"/>
            <w:hideMark/>
          </w:tcPr>
          <w:p w14:paraId="475EB5D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764-DG-2020, de la Dirección General del OIJ, mediante el cual la negativa del Ministerio de Justicia al momento de recibir personas detenidas, para que desde la dirección de la Comisión, a fin de poner en conocimiento a las autoridades penales del país. </w:t>
            </w:r>
          </w:p>
        </w:tc>
      </w:tr>
      <w:tr w:rsidR="00356493" w:rsidRPr="00BB53C0" w14:paraId="1766D2EA" w14:textId="77777777" w:rsidTr="00356493">
        <w:trPr>
          <w:trHeight w:val="1860"/>
        </w:trPr>
        <w:tc>
          <w:tcPr>
            <w:tcW w:w="1520" w:type="dxa"/>
            <w:shd w:val="clear" w:color="auto" w:fill="auto"/>
            <w:vAlign w:val="center"/>
            <w:hideMark/>
          </w:tcPr>
          <w:p w14:paraId="081C324F"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215-2020</w:t>
            </w:r>
          </w:p>
        </w:tc>
        <w:tc>
          <w:tcPr>
            <w:tcW w:w="8114" w:type="dxa"/>
            <w:shd w:val="clear" w:color="auto" w:fill="auto"/>
            <w:hideMark/>
          </w:tcPr>
          <w:p w14:paraId="3CC2C75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8833-2020, del Consejo Superior, mediante el cual comunican el acuerdo de sesión 86-2020, del 3 de setiembre de 2020, artículo XXIX, donde se conoció el oficio CJP172-2020, sobre “Responsabilidad de la Jueza o el Juez Coordinador del despacho, de dejar constancia al momento de realizar el remesado, de que no existen bienes decomisados o evidencias ligadas a los expedientes ni documentos de interés para las partes”.  </w:t>
            </w:r>
          </w:p>
        </w:tc>
      </w:tr>
      <w:tr w:rsidR="00356493" w:rsidRPr="00BB53C0" w14:paraId="06BEE0E7" w14:textId="77777777" w:rsidTr="00356493">
        <w:trPr>
          <w:trHeight w:val="1860"/>
        </w:trPr>
        <w:tc>
          <w:tcPr>
            <w:tcW w:w="1520" w:type="dxa"/>
            <w:shd w:val="clear" w:color="auto" w:fill="auto"/>
            <w:vAlign w:val="center"/>
            <w:hideMark/>
          </w:tcPr>
          <w:p w14:paraId="5EB6213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216-2020</w:t>
            </w:r>
          </w:p>
        </w:tc>
        <w:tc>
          <w:tcPr>
            <w:tcW w:w="8114" w:type="dxa"/>
            <w:shd w:val="clear" w:color="auto" w:fill="auto"/>
            <w:hideMark/>
          </w:tcPr>
          <w:p w14:paraId="0C251C6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8797-2020 del Consejo Superior, comunicando acuerdo de sesión 86-2020 del 03 de setiembre de 2020, artículo LIII, donde se conoció el oficio CJP179-2020, mediante el cual la jurisdicción de la Fortuna solicita aclaración de la Circular 140-2020. </w:t>
            </w:r>
          </w:p>
        </w:tc>
      </w:tr>
      <w:tr w:rsidR="00356493" w:rsidRPr="00BB53C0" w14:paraId="46AFC469" w14:textId="77777777" w:rsidTr="00356493">
        <w:trPr>
          <w:trHeight w:val="1860"/>
        </w:trPr>
        <w:tc>
          <w:tcPr>
            <w:tcW w:w="1520" w:type="dxa"/>
            <w:shd w:val="clear" w:color="auto" w:fill="auto"/>
            <w:vAlign w:val="center"/>
            <w:hideMark/>
          </w:tcPr>
          <w:p w14:paraId="63C6B6B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217-2020</w:t>
            </w:r>
          </w:p>
        </w:tc>
        <w:tc>
          <w:tcPr>
            <w:tcW w:w="8114" w:type="dxa"/>
            <w:shd w:val="clear" w:color="auto" w:fill="auto"/>
            <w:hideMark/>
          </w:tcPr>
          <w:p w14:paraId="595C582E"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1510-PLA-PE-2020, de la Dirección de Planificación relacionado con el tercer informe de seguimiento del 2020, de los proyectos incorporados al Portafolio Institucional de Proyectos Estratégicos. Adicionalmente, para el caso de los proyectos en los cuales se concedieron licencias de permiso con goce de salario, según lo estipulado en el artículo 44 de la Ley Orgánica del Poder Judicial</w:t>
            </w:r>
            <w:r>
              <w:rPr>
                <w:rFonts w:ascii="Arial" w:eastAsia="Times New Roman" w:hAnsi="Arial" w:cs="Arial"/>
                <w:sz w:val="20"/>
                <w:szCs w:val="20"/>
                <w:lang w:eastAsia="es-CR"/>
              </w:rPr>
              <w:t>.</w:t>
            </w:r>
          </w:p>
        </w:tc>
      </w:tr>
      <w:tr w:rsidR="00356493" w:rsidRPr="00BB53C0" w14:paraId="7296E9DD" w14:textId="77777777" w:rsidTr="00356493">
        <w:trPr>
          <w:trHeight w:val="1860"/>
        </w:trPr>
        <w:tc>
          <w:tcPr>
            <w:tcW w:w="1520" w:type="dxa"/>
            <w:shd w:val="clear" w:color="auto" w:fill="auto"/>
            <w:vAlign w:val="center"/>
            <w:hideMark/>
          </w:tcPr>
          <w:p w14:paraId="600ED8F8"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218-2020</w:t>
            </w:r>
          </w:p>
        </w:tc>
        <w:tc>
          <w:tcPr>
            <w:tcW w:w="8114" w:type="dxa"/>
            <w:shd w:val="clear" w:color="auto" w:fill="auto"/>
            <w:hideMark/>
          </w:tcPr>
          <w:p w14:paraId="34A6805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8901-2020, del Consejo Superior, comunicando acuerdo de sesión 92-2020, del 22 de setiembre de 2020, artículo XL, donde se conoció el </w:t>
            </w:r>
            <w:r w:rsidRPr="00BB53C0">
              <w:rPr>
                <w:rFonts w:ascii="Arial" w:eastAsia="Times New Roman" w:hAnsi="Arial" w:cs="Arial"/>
                <w:color w:val="000000"/>
                <w:sz w:val="20"/>
                <w:szCs w:val="20"/>
                <w:lang w:eastAsia="es-CR"/>
              </w:rPr>
              <w:t>oficio Nº 1372-PLA-MI-2020 relacionado con el diagnóstico y propuestas para el Proyecto de Mejora Integral del Proceso Penal Ministerio Público - Fiscalía de Pavas. Solo se copia a la Comisión, ingreso el 28-09-2020</w:t>
            </w:r>
          </w:p>
        </w:tc>
      </w:tr>
      <w:tr w:rsidR="00356493" w:rsidRPr="00BB53C0" w14:paraId="7C8E4896" w14:textId="77777777" w:rsidTr="00356493">
        <w:trPr>
          <w:trHeight w:val="1860"/>
        </w:trPr>
        <w:tc>
          <w:tcPr>
            <w:tcW w:w="1520" w:type="dxa"/>
            <w:shd w:val="clear" w:color="auto" w:fill="auto"/>
            <w:vAlign w:val="center"/>
            <w:hideMark/>
          </w:tcPr>
          <w:p w14:paraId="2296B61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219-2020</w:t>
            </w:r>
          </w:p>
        </w:tc>
        <w:tc>
          <w:tcPr>
            <w:tcW w:w="8114" w:type="dxa"/>
            <w:shd w:val="clear" w:color="auto" w:fill="auto"/>
            <w:hideMark/>
          </w:tcPr>
          <w:p w14:paraId="0AD3DB3C"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1532-PLA-OI-2020, de la Dirección de Planificación, mediante el cual remite informe sobre el seguimiento mensual de las labores realizadas por las oficinas durante la emergencia por Covid-19, e informa a la Comisión. </w:t>
            </w:r>
          </w:p>
        </w:tc>
      </w:tr>
      <w:tr w:rsidR="00356493" w:rsidRPr="00BB53C0" w14:paraId="16F6D36C" w14:textId="77777777" w:rsidTr="00356493">
        <w:trPr>
          <w:trHeight w:val="1860"/>
        </w:trPr>
        <w:tc>
          <w:tcPr>
            <w:tcW w:w="1520" w:type="dxa"/>
            <w:shd w:val="clear" w:color="auto" w:fill="auto"/>
            <w:vAlign w:val="center"/>
            <w:hideMark/>
          </w:tcPr>
          <w:p w14:paraId="7983A0BE"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220-2020</w:t>
            </w:r>
          </w:p>
        </w:tc>
        <w:tc>
          <w:tcPr>
            <w:tcW w:w="8114" w:type="dxa"/>
            <w:shd w:val="clear" w:color="auto" w:fill="auto"/>
            <w:hideMark/>
          </w:tcPr>
          <w:p w14:paraId="49BA9BC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1513-PLA-ES-2020, de la Dirección de Planificación, mediante el cual remite copia del informe relacionado con las inconsistencias detectadas mediante la generación de los informes de inconsistencias y durante el proceso de elaboración de datos estadísticos. </w:t>
            </w:r>
          </w:p>
        </w:tc>
      </w:tr>
      <w:tr w:rsidR="00356493" w:rsidRPr="00BB53C0" w14:paraId="7E3AA7CB" w14:textId="77777777" w:rsidTr="00356493">
        <w:trPr>
          <w:trHeight w:val="1860"/>
        </w:trPr>
        <w:tc>
          <w:tcPr>
            <w:tcW w:w="1520" w:type="dxa"/>
            <w:shd w:val="clear" w:color="auto" w:fill="auto"/>
            <w:vAlign w:val="center"/>
            <w:hideMark/>
          </w:tcPr>
          <w:p w14:paraId="16199D9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221-2020</w:t>
            </w:r>
          </w:p>
        </w:tc>
        <w:tc>
          <w:tcPr>
            <w:tcW w:w="8114" w:type="dxa"/>
            <w:shd w:val="clear" w:color="auto" w:fill="auto"/>
            <w:hideMark/>
          </w:tcPr>
          <w:p w14:paraId="6FBE9A8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74-FAPZ-JEFATURA-2020, de la Magistrada Damaris Vargas, mediante el cual remite al señor Presidente de la Corte, donde traslada en relación con la preocupación mostrada por el señor Ramírez Villalobos en la condición dicha, sobre las decisiones tomadas por la Jurisdicción Agraria y la Jurisdicción Penal sobre la situación en que se encuentra la población indígena de China Kichá en Pérez Zeledón y las acciones jurisdiccionales. </w:t>
            </w:r>
          </w:p>
        </w:tc>
      </w:tr>
      <w:tr w:rsidR="00356493" w:rsidRPr="00BB53C0" w14:paraId="3241105B" w14:textId="77777777" w:rsidTr="00356493">
        <w:trPr>
          <w:trHeight w:val="1860"/>
        </w:trPr>
        <w:tc>
          <w:tcPr>
            <w:tcW w:w="1520" w:type="dxa"/>
            <w:shd w:val="clear" w:color="auto" w:fill="auto"/>
            <w:vAlign w:val="center"/>
            <w:hideMark/>
          </w:tcPr>
          <w:p w14:paraId="2B44220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222-2020</w:t>
            </w:r>
          </w:p>
        </w:tc>
        <w:tc>
          <w:tcPr>
            <w:tcW w:w="8114" w:type="dxa"/>
            <w:shd w:val="clear" w:color="auto" w:fill="auto"/>
            <w:hideMark/>
          </w:tcPr>
          <w:p w14:paraId="6FDAA6E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8940-2020 del Consejo Superior, comunicando acuerdo del 24-09-2020 de sesión 93-2020, artículo LXV, donde se conoció el oficio CJP187-2020 sobre el informe de la licenciada Rebeca Herrera Padilla, jefa de la Unidad de Atención a Personas Sujetas a Monitoreo con Dispositivo Electrónico (UME) y hacer este acuerdo de conocimiento de los Juzgados Penales. </w:t>
            </w:r>
          </w:p>
        </w:tc>
      </w:tr>
      <w:tr w:rsidR="00356493" w:rsidRPr="00BB53C0" w14:paraId="76B60145" w14:textId="77777777" w:rsidTr="00356493">
        <w:trPr>
          <w:trHeight w:val="1860"/>
        </w:trPr>
        <w:tc>
          <w:tcPr>
            <w:tcW w:w="1520" w:type="dxa"/>
            <w:shd w:val="clear" w:color="auto" w:fill="auto"/>
            <w:vAlign w:val="center"/>
            <w:hideMark/>
          </w:tcPr>
          <w:p w14:paraId="051D4E6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223-2020</w:t>
            </w:r>
          </w:p>
        </w:tc>
        <w:tc>
          <w:tcPr>
            <w:tcW w:w="8114" w:type="dxa"/>
            <w:shd w:val="clear" w:color="auto" w:fill="auto"/>
            <w:hideMark/>
          </w:tcPr>
          <w:p w14:paraId="505562A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9198-2020 de Corte Plena, mediante el cual comunica acuerdo de sesión 50-2020 del 7 de setiembre de 2020, artículo XXVI, donde se conoció el oficio CJP170-2020 sobre los allanamientos en Pavas, y el Covid-19. </w:t>
            </w:r>
          </w:p>
        </w:tc>
      </w:tr>
      <w:tr w:rsidR="00356493" w:rsidRPr="00BB53C0" w14:paraId="7046480F" w14:textId="77777777" w:rsidTr="00356493">
        <w:trPr>
          <w:trHeight w:val="1860"/>
        </w:trPr>
        <w:tc>
          <w:tcPr>
            <w:tcW w:w="1520" w:type="dxa"/>
            <w:shd w:val="clear" w:color="auto" w:fill="auto"/>
            <w:vAlign w:val="center"/>
            <w:hideMark/>
          </w:tcPr>
          <w:p w14:paraId="3F5BB02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224-2020</w:t>
            </w:r>
          </w:p>
        </w:tc>
        <w:tc>
          <w:tcPr>
            <w:tcW w:w="8114" w:type="dxa"/>
            <w:shd w:val="clear" w:color="auto" w:fill="auto"/>
            <w:hideMark/>
          </w:tcPr>
          <w:p w14:paraId="3B8173DA"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9187-2020 oficio del Consejo Superior, comunicando acuerdo de sesión 50-2020 del 7 de setiembre de 2020, artículo XVIII, donde se conoció, lo relacionado con la propuesta del modelo de gestión de riesgos estratégicos en el Poder Judicial. </w:t>
            </w:r>
          </w:p>
        </w:tc>
      </w:tr>
      <w:tr w:rsidR="00356493" w:rsidRPr="00BB53C0" w14:paraId="5B9504E6" w14:textId="77777777" w:rsidTr="00356493">
        <w:trPr>
          <w:trHeight w:val="1860"/>
        </w:trPr>
        <w:tc>
          <w:tcPr>
            <w:tcW w:w="1520" w:type="dxa"/>
            <w:shd w:val="clear" w:color="auto" w:fill="auto"/>
            <w:vAlign w:val="center"/>
            <w:hideMark/>
          </w:tcPr>
          <w:p w14:paraId="53476DCB"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225-2020</w:t>
            </w:r>
          </w:p>
        </w:tc>
        <w:tc>
          <w:tcPr>
            <w:tcW w:w="8114" w:type="dxa"/>
            <w:shd w:val="clear" w:color="auto" w:fill="auto"/>
            <w:hideMark/>
          </w:tcPr>
          <w:p w14:paraId="764BF8C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8975-2020 de Corte Plena, comunicando acuerdo de sesión 50-2020 del 7 de setiembre de 2020, artículo XII, donde se tomó el acuerdo en atención a la declaratoria de emergencia nacional, debido a la situación de emergencia sanitaria provocada por la enfermedad COVID-19, en el cual jurisdicciones remitir a esta Corte Plena un plan de trabajo remedial para las audiencias que no se han podido realizar, para los próximos seis meses, conforme a lo expuesto. </w:t>
            </w:r>
          </w:p>
        </w:tc>
      </w:tr>
      <w:tr w:rsidR="00356493" w:rsidRPr="00BB53C0" w14:paraId="7879D474" w14:textId="77777777" w:rsidTr="00356493">
        <w:trPr>
          <w:trHeight w:val="1860"/>
        </w:trPr>
        <w:tc>
          <w:tcPr>
            <w:tcW w:w="1520" w:type="dxa"/>
            <w:shd w:val="clear" w:color="auto" w:fill="auto"/>
            <w:vAlign w:val="center"/>
            <w:hideMark/>
          </w:tcPr>
          <w:p w14:paraId="7EE9D460"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226-2020</w:t>
            </w:r>
          </w:p>
        </w:tc>
        <w:tc>
          <w:tcPr>
            <w:tcW w:w="8114" w:type="dxa"/>
            <w:shd w:val="clear" w:color="auto" w:fill="auto"/>
            <w:hideMark/>
          </w:tcPr>
          <w:p w14:paraId="6B856B7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9130-2020 de Corte Plena, mediante el cual comunica acuerdo de sesión 55-2020, del 28-09-2020, artículo XIV, donde se prorrogan las medidas de la situación de emergencia sanitaria provocada por la enfermedad COVID-19. </w:t>
            </w:r>
          </w:p>
        </w:tc>
      </w:tr>
      <w:tr w:rsidR="00356493" w:rsidRPr="00BB53C0" w14:paraId="5D2A0F09" w14:textId="77777777" w:rsidTr="00356493">
        <w:trPr>
          <w:trHeight w:val="1860"/>
        </w:trPr>
        <w:tc>
          <w:tcPr>
            <w:tcW w:w="1520" w:type="dxa"/>
            <w:shd w:val="clear" w:color="auto" w:fill="auto"/>
            <w:vAlign w:val="center"/>
            <w:hideMark/>
          </w:tcPr>
          <w:p w14:paraId="74D866F1"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227-2020</w:t>
            </w:r>
          </w:p>
        </w:tc>
        <w:tc>
          <w:tcPr>
            <w:tcW w:w="8114" w:type="dxa"/>
            <w:shd w:val="clear" w:color="auto" w:fill="auto"/>
            <w:hideMark/>
          </w:tcPr>
          <w:p w14:paraId="2CF20EAF"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1562-PLA-EV-2020, de la Dirección de Planificación, mediante el cual remite el informe relacionado con la revisión del monto de la cuantía en materia Civil, para efecto de establecer el tope entre menor y mayor cuantía y por consiguiente el acceso al recurso de Casación</w:t>
            </w:r>
            <w:r>
              <w:rPr>
                <w:rFonts w:ascii="Arial" w:eastAsia="Times New Roman" w:hAnsi="Arial" w:cs="Arial"/>
                <w:sz w:val="20"/>
                <w:szCs w:val="20"/>
                <w:lang w:eastAsia="es-CR"/>
              </w:rPr>
              <w:t>.</w:t>
            </w:r>
            <w:r w:rsidRPr="00BB53C0">
              <w:rPr>
                <w:rFonts w:ascii="Arial" w:eastAsia="Times New Roman" w:hAnsi="Arial" w:cs="Arial"/>
                <w:sz w:val="20"/>
                <w:szCs w:val="20"/>
                <w:lang w:eastAsia="es-CR"/>
              </w:rPr>
              <w:t xml:space="preserve"> </w:t>
            </w:r>
          </w:p>
        </w:tc>
      </w:tr>
      <w:tr w:rsidR="00356493" w:rsidRPr="00BB53C0" w14:paraId="29CA934C" w14:textId="77777777" w:rsidTr="00356493">
        <w:trPr>
          <w:trHeight w:val="1860"/>
        </w:trPr>
        <w:tc>
          <w:tcPr>
            <w:tcW w:w="1520" w:type="dxa"/>
            <w:shd w:val="clear" w:color="auto" w:fill="auto"/>
            <w:vAlign w:val="center"/>
            <w:hideMark/>
          </w:tcPr>
          <w:p w14:paraId="318FC6B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228-2020</w:t>
            </w:r>
          </w:p>
        </w:tc>
        <w:tc>
          <w:tcPr>
            <w:tcW w:w="8114" w:type="dxa"/>
            <w:shd w:val="clear" w:color="auto" w:fill="auto"/>
            <w:hideMark/>
          </w:tcPr>
          <w:p w14:paraId="73C6B99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Benito Martin Jiménez Carranza, de fecha 09-10-2020, mediante el cual remite la consulta en relación a los alcances del artículo 405 bis del Código Penal, tanto para las denuncias por Maltrato o Abandono de Animales, que nos plantean en los Despachos contravencionales, como aquellas de esa naturaleza ingresadas por incompetencia del Ministerio Público. </w:t>
            </w:r>
          </w:p>
        </w:tc>
      </w:tr>
      <w:tr w:rsidR="00356493" w:rsidRPr="00BB53C0" w14:paraId="4620FD3A" w14:textId="77777777" w:rsidTr="00356493">
        <w:trPr>
          <w:trHeight w:val="1860"/>
        </w:trPr>
        <w:tc>
          <w:tcPr>
            <w:tcW w:w="1520" w:type="dxa"/>
            <w:shd w:val="clear" w:color="auto" w:fill="auto"/>
            <w:vAlign w:val="center"/>
            <w:hideMark/>
          </w:tcPr>
          <w:p w14:paraId="5B81A259"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229-2020</w:t>
            </w:r>
          </w:p>
        </w:tc>
        <w:tc>
          <w:tcPr>
            <w:tcW w:w="8114" w:type="dxa"/>
            <w:shd w:val="clear" w:color="auto" w:fill="auto"/>
            <w:hideMark/>
          </w:tcPr>
          <w:p w14:paraId="173E2513"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Correo del señor José Berlatta Valladares, de fecha 12-10-2020, mediante el cual plantea consulta con respecto a la circular 120-2020 sobre las audiencias virtuales por medio de la plataforma Teams. </w:t>
            </w:r>
          </w:p>
        </w:tc>
      </w:tr>
      <w:tr w:rsidR="00356493" w:rsidRPr="00BB53C0" w14:paraId="5720562A" w14:textId="77777777" w:rsidTr="00356493">
        <w:trPr>
          <w:trHeight w:val="1860"/>
        </w:trPr>
        <w:tc>
          <w:tcPr>
            <w:tcW w:w="1520" w:type="dxa"/>
            <w:shd w:val="clear" w:color="auto" w:fill="auto"/>
            <w:vAlign w:val="center"/>
            <w:hideMark/>
          </w:tcPr>
          <w:p w14:paraId="7A9F842A"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230-2020</w:t>
            </w:r>
          </w:p>
        </w:tc>
        <w:tc>
          <w:tcPr>
            <w:tcW w:w="8114" w:type="dxa"/>
            <w:shd w:val="clear" w:color="auto" w:fill="auto"/>
            <w:hideMark/>
          </w:tcPr>
          <w:p w14:paraId="549E4740"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317-STGAJ-2020, de la Secretaría Técnica de Género y Acceso a la Justicia, mediante el cual remite informe relacionado con los indicadores institucionales, legislación nacional e instrumentos internacionales, relacionados con el reconocimiento y ejercicio de derechos de las personas menores de edad víctimas en los procesos judiciales.</w:t>
            </w:r>
          </w:p>
        </w:tc>
      </w:tr>
      <w:tr w:rsidR="00356493" w:rsidRPr="00BB53C0" w14:paraId="4F72669D" w14:textId="77777777" w:rsidTr="00356493">
        <w:trPr>
          <w:trHeight w:val="1860"/>
        </w:trPr>
        <w:tc>
          <w:tcPr>
            <w:tcW w:w="1520" w:type="dxa"/>
            <w:shd w:val="clear" w:color="auto" w:fill="auto"/>
            <w:vAlign w:val="center"/>
            <w:hideMark/>
          </w:tcPr>
          <w:p w14:paraId="0E96630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231-2020</w:t>
            </w:r>
          </w:p>
        </w:tc>
        <w:tc>
          <w:tcPr>
            <w:tcW w:w="8114" w:type="dxa"/>
            <w:shd w:val="clear" w:color="auto" w:fill="auto"/>
            <w:hideMark/>
          </w:tcPr>
          <w:p w14:paraId="3A61A7E2"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9541-2020 del Consejo superior, mediante el cual comunica el acuerdo de sesión 95-2020 del 2 de octubre de 2020, artículo XLI, sobre el informe 1433-PLA-OI-2020, del Rediseño de Procesos del Tribunal Penal de Limón</w:t>
            </w:r>
            <w:r>
              <w:rPr>
                <w:rFonts w:ascii="Arial" w:eastAsia="Times New Roman" w:hAnsi="Arial" w:cs="Arial"/>
                <w:sz w:val="20"/>
                <w:szCs w:val="20"/>
                <w:lang w:eastAsia="es-CR"/>
              </w:rPr>
              <w:t>.</w:t>
            </w:r>
          </w:p>
        </w:tc>
      </w:tr>
      <w:tr w:rsidR="00356493" w:rsidRPr="00BB53C0" w14:paraId="3AF3CC65" w14:textId="77777777" w:rsidTr="00356493">
        <w:trPr>
          <w:trHeight w:val="1860"/>
        </w:trPr>
        <w:tc>
          <w:tcPr>
            <w:tcW w:w="1520" w:type="dxa"/>
            <w:shd w:val="clear" w:color="auto" w:fill="auto"/>
            <w:vAlign w:val="center"/>
            <w:hideMark/>
          </w:tcPr>
          <w:p w14:paraId="72D762E2"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232-2020</w:t>
            </w:r>
          </w:p>
        </w:tc>
        <w:tc>
          <w:tcPr>
            <w:tcW w:w="8114" w:type="dxa"/>
            <w:shd w:val="clear" w:color="auto" w:fill="auto"/>
            <w:hideMark/>
          </w:tcPr>
          <w:p w14:paraId="4BF96DBD"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9584-2020 del Consejo Superior, mediante el cual comunica el acuerdo de sesión 93-2020 del 24 de setiembre de 2020, artículo XLV, sobre el informe 1434-PLA-OI-2020, Rediseño de Procesos del modelo Penal por medio de nuevas tecnologías de información del Juzgado Penal de Talamanca. </w:t>
            </w:r>
          </w:p>
        </w:tc>
      </w:tr>
      <w:tr w:rsidR="00356493" w:rsidRPr="00BB53C0" w14:paraId="6728E9C1" w14:textId="77777777" w:rsidTr="00356493">
        <w:trPr>
          <w:trHeight w:val="1860"/>
        </w:trPr>
        <w:tc>
          <w:tcPr>
            <w:tcW w:w="1520" w:type="dxa"/>
            <w:shd w:val="clear" w:color="auto" w:fill="auto"/>
            <w:vAlign w:val="center"/>
            <w:hideMark/>
          </w:tcPr>
          <w:p w14:paraId="35F5054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233-2020</w:t>
            </w:r>
          </w:p>
        </w:tc>
        <w:tc>
          <w:tcPr>
            <w:tcW w:w="8114" w:type="dxa"/>
            <w:shd w:val="clear" w:color="auto" w:fill="auto"/>
            <w:hideMark/>
          </w:tcPr>
          <w:p w14:paraId="13D82C5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1598-PLA-ES-2020, de la Dirección de Planificación, mediante el cual remite informe sobre el número de personas sentenciadas en los tribunales penales del país, durante el 2019</w:t>
            </w:r>
            <w:r>
              <w:rPr>
                <w:rFonts w:ascii="Arial" w:eastAsia="Times New Roman" w:hAnsi="Arial" w:cs="Arial"/>
                <w:sz w:val="20"/>
                <w:szCs w:val="20"/>
                <w:lang w:eastAsia="es-CR"/>
              </w:rPr>
              <w:t>.</w:t>
            </w:r>
          </w:p>
        </w:tc>
      </w:tr>
      <w:tr w:rsidR="00356493" w:rsidRPr="00BB53C0" w14:paraId="550E5FF4" w14:textId="77777777" w:rsidTr="00356493">
        <w:trPr>
          <w:trHeight w:val="1860"/>
        </w:trPr>
        <w:tc>
          <w:tcPr>
            <w:tcW w:w="1520" w:type="dxa"/>
            <w:shd w:val="clear" w:color="auto" w:fill="auto"/>
            <w:vAlign w:val="center"/>
            <w:hideMark/>
          </w:tcPr>
          <w:p w14:paraId="279C7226"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234-2020</w:t>
            </w:r>
          </w:p>
        </w:tc>
        <w:tc>
          <w:tcPr>
            <w:tcW w:w="8114" w:type="dxa"/>
            <w:shd w:val="clear" w:color="auto" w:fill="auto"/>
            <w:hideMark/>
          </w:tcPr>
          <w:p w14:paraId="37D3D7E6"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1613-PLA-ES-2020, de la Dirección de Planificación, mediante el cual remite el informe relacionado con la situación de las personas detenidas, sin y con sentencia, a la orden de los Juzgados y Tribunales Penales del país, al finalizar el 2019</w:t>
            </w:r>
            <w:r>
              <w:rPr>
                <w:rFonts w:ascii="Arial" w:eastAsia="Times New Roman" w:hAnsi="Arial" w:cs="Arial"/>
                <w:sz w:val="20"/>
                <w:szCs w:val="20"/>
                <w:lang w:eastAsia="es-CR"/>
              </w:rPr>
              <w:t>.</w:t>
            </w:r>
          </w:p>
        </w:tc>
      </w:tr>
      <w:tr w:rsidR="00356493" w:rsidRPr="00BB53C0" w14:paraId="33E73FEA" w14:textId="77777777" w:rsidTr="00356493">
        <w:trPr>
          <w:trHeight w:val="1860"/>
        </w:trPr>
        <w:tc>
          <w:tcPr>
            <w:tcW w:w="1520" w:type="dxa"/>
            <w:shd w:val="clear" w:color="auto" w:fill="auto"/>
            <w:vAlign w:val="center"/>
            <w:hideMark/>
          </w:tcPr>
          <w:p w14:paraId="238405D5"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235-2020</w:t>
            </w:r>
          </w:p>
        </w:tc>
        <w:tc>
          <w:tcPr>
            <w:tcW w:w="8114" w:type="dxa"/>
            <w:shd w:val="clear" w:color="auto" w:fill="auto"/>
            <w:hideMark/>
          </w:tcPr>
          <w:p w14:paraId="1AE08F54"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DP-541-2020 del Despacho de la Presidencia, mediante el cual solicitan el informe anual de la Comisión, para la rendición de cuentas del año 2019-2020. </w:t>
            </w:r>
          </w:p>
        </w:tc>
      </w:tr>
      <w:tr w:rsidR="00356493" w:rsidRPr="00BB53C0" w14:paraId="2F521478" w14:textId="77777777" w:rsidTr="00356493">
        <w:trPr>
          <w:trHeight w:val="1860"/>
        </w:trPr>
        <w:tc>
          <w:tcPr>
            <w:tcW w:w="1520" w:type="dxa"/>
            <w:shd w:val="clear" w:color="auto" w:fill="auto"/>
            <w:vAlign w:val="center"/>
            <w:hideMark/>
          </w:tcPr>
          <w:p w14:paraId="498BC8E7"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236-2020</w:t>
            </w:r>
          </w:p>
        </w:tc>
        <w:tc>
          <w:tcPr>
            <w:tcW w:w="8114" w:type="dxa"/>
            <w:shd w:val="clear" w:color="auto" w:fill="auto"/>
            <w:hideMark/>
          </w:tcPr>
          <w:p w14:paraId="12A7180B"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 xml:space="preserve">Oficio 1621-PLA-OI-2020, de la Dirección de Planificación, mediante el cual remiten el informe definitivo del relacionado con el proyecto realizado en el Tribunal Penal del Primer Circuito Judicial de Guanacaste, Sede Cañas. </w:t>
            </w:r>
          </w:p>
        </w:tc>
      </w:tr>
      <w:tr w:rsidR="00356493" w:rsidRPr="00BB53C0" w14:paraId="7715A325" w14:textId="77777777" w:rsidTr="00356493">
        <w:trPr>
          <w:trHeight w:val="1860"/>
        </w:trPr>
        <w:tc>
          <w:tcPr>
            <w:tcW w:w="1520" w:type="dxa"/>
            <w:shd w:val="clear" w:color="auto" w:fill="auto"/>
            <w:vAlign w:val="center"/>
            <w:hideMark/>
          </w:tcPr>
          <w:p w14:paraId="7AE81B74" w14:textId="77777777" w:rsidR="00356493" w:rsidRPr="00BB53C0" w:rsidRDefault="00356493" w:rsidP="00356493">
            <w:pPr>
              <w:spacing w:after="0" w:line="240" w:lineRule="auto"/>
              <w:jc w:val="center"/>
              <w:rPr>
                <w:rFonts w:ascii="Arial" w:eastAsia="Times New Roman" w:hAnsi="Arial" w:cs="Arial"/>
                <w:sz w:val="20"/>
                <w:szCs w:val="20"/>
                <w:lang w:eastAsia="es-CR"/>
              </w:rPr>
            </w:pPr>
            <w:r w:rsidRPr="00BB53C0">
              <w:rPr>
                <w:rFonts w:ascii="Arial" w:eastAsia="Times New Roman" w:hAnsi="Arial" w:cs="Arial"/>
                <w:sz w:val="20"/>
                <w:szCs w:val="20"/>
                <w:lang w:eastAsia="es-CR"/>
              </w:rPr>
              <w:t>237-2020</w:t>
            </w:r>
          </w:p>
        </w:tc>
        <w:tc>
          <w:tcPr>
            <w:tcW w:w="8114" w:type="dxa"/>
            <w:shd w:val="clear" w:color="auto" w:fill="auto"/>
            <w:hideMark/>
          </w:tcPr>
          <w:p w14:paraId="35722581" w14:textId="77777777" w:rsidR="00356493" w:rsidRPr="00BB53C0" w:rsidRDefault="00356493" w:rsidP="00356493">
            <w:pPr>
              <w:spacing w:after="0" w:line="240" w:lineRule="auto"/>
              <w:jc w:val="both"/>
              <w:rPr>
                <w:rFonts w:ascii="Arial" w:eastAsia="Times New Roman" w:hAnsi="Arial" w:cs="Arial"/>
                <w:sz w:val="20"/>
                <w:szCs w:val="20"/>
                <w:lang w:eastAsia="es-CR"/>
              </w:rPr>
            </w:pPr>
            <w:r w:rsidRPr="00BB53C0">
              <w:rPr>
                <w:rFonts w:ascii="Arial" w:eastAsia="Times New Roman" w:hAnsi="Arial" w:cs="Arial"/>
                <w:sz w:val="20"/>
                <w:szCs w:val="20"/>
                <w:lang w:eastAsia="es-CR"/>
              </w:rPr>
              <w:t>Oficio 1628-PLA-ES-2020, de la Dirección de Planificación, mediante el cual remite el informe relacionado con los movimientos de trabajo en las Fiscalías Penales Juveniles del Ministerio Público, durante el 2019 y el último quinquenio</w:t>
            </w:r>
            <w:r>
              <w:rPr>
                <w:rFonts w:ascii="Arial" w:eastAsia="Times New Roman" w:hAnsi="Arial" w:cs="Arial"/>
                <w:sz w:val="20"/>
                <w:szCs w:val="20"/>
                <w:lang w:eastAsia="es-CR"/>
              </w:rPr>
              <w:t>.</w:t>
            </w:r>
          </w:p>
        </w:tc>
      </w:tr>
      <w:tr w:rsidR="00356493" w:rsidRPr="00BB53C0" w14:paraId="37706372" w14:textId="77777777" w:rsidTr="00356493">
        <w:trPr>
          <w:trHeight w:val="1860"/>
        </w:trPr>
        <w:tc>
          <w:tcPr>
            <w:tcW w:w="1520" w:type="dxa"/>
            <w:shd w:val="clear" w:color="auto" w:fill="auto"/>
            <w:vAlign w:val="center"/>
            <w:hideMark/>
          </w:tcPr>
          <w:p w14:paraId="1420C81E"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238-2020</w:t>
            </w:r>
          </w:p>
        </w:tc>
        <w:tc>
          <w:tcPr>
            <w:tcW w:w="8114" w:type="dxa"/>
            <w:shd w:val="clear" w:color="auto" w:fill="auto"/>
            <w:hideMark/>
          </w:tcPr>
          <w:p w14:paraId="48A9DC2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1629-PLA-ES-2020, de la Dirección de Planificación, mediante el cual remite el informe relacionado con los movimientos de trabajo en los tribunales penales, durante el 2019 y el último quinquenio</w:t>
            </w:r>
            <w:r>
              <w:rPr>
                <w:rFonts w:ascii="Arial" w:eastAsia="Times New Roman" w:hAnsi="Arial" w:cs="Arial"/>
                <w:color w:val="000000"/>
                <w:sz w:val="20"/>
                <w:szCs w:val="20"/>
                <w:lang w:eastAsia="es-CR"/>
              </w:rPr>
              <w:t>.</w:t>
            </w:r>
          </w:p>
        </w:tc>
      </w:tr>
      <w:tr w:rsidR="00356493" w:rsidRPr="00BB53C0" w14:paraId="64F067ED" w14:textId="77777777" w:rsidTr="00356493">
        <w:trPr>
          <w:trHeight w:val="1860"/>
        </w:trPr>
        <w:tc>
          <w:tcPr>
            <w:tcW w:w="1520" w:type="dxa"/>
            <w:shd w:val="clear" w:color="auto" w:fill="auto"/>
            <w:vAlign w:val="center"/>
            <w:hideMark/>
          </w:tcPr>
          <w:p w14:paraId="6DA3CF9F"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239-2020</w:t>
            </w:r>
          </w:p>
        </w:tc>
        <w:tc>
          <w:tcPr>
            <w:tcW w:w="8114" w:type="dxa"/>
            <w:shd w:val="clear" w:color="auto" w:fill="auto"/>
            <w:hideMark/>
          </w:tcPr>
          <w:p w14:paraId="40610458"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9794-2020 del Consejo Superior, comunicando acuerdo de sesión 95-2020 del 02 de octubre de 2020, artículo XLV, donde se conoció el oficio N°757-DG-2020, Director General del Organismo de Investigación Judicial, en el cual solicitan analicen el tema citado por el máster Espinoza </w:t>
            </w:r>
            <w:proofErr w:type="spellStart"/>
            <w:r w:rsidRPr="00BB53C0">
              <w:rPr>
                <w:rFonts w:ascii="Arial" w:eastAsia="Times New Roman" w:hAnsi="Arial" w:cs="Arial"/>
                <w:color w:val="000000"/>
                <w:sz w:val="20"/>
                <w:szCs w:val="20"/>
                <w:lang w:eastAsia="es-CR"/>
              </w:rPr>
              <w:t>Espinoza</w:t>
            </w:r>
            <w:proofErr w:type="spellEnd"/>
            <w:r w:rsidRPr="00BB53C0">
              <w:rPr>
                <w:rFonts w:ascii="Arial" w:eastAsia="Times New Roman" w:hAnsi="Arial" w:cs="Arial"/>
                <w:color w:val="000000"/>
                <w:sz w:val="20"/>
                <w:szCs w:val="20"/>
                <w:lang w:eastAsia="es-CR"/>
              </w:rPr>
              <w:t xml:space="preserve"> y remitan a este Consejo Superior un criterio en cuanto a la legalidad de que el Organismo de Investigación Judicial, de conformidad con la limitación que establece el artículo 295 del código procesal civil, deniegue a las personas usuarias que así lo solicitan, la información de si han sido consultadas en los sistemas institucionales, con motivo de una investigación en curso</w:t>
            </w:r>
            <w:r>
              <w:rPr>
                <w:rFonts w:ascii="Arial" w:eastAsia="Times New Roman" w:hAnsi="Arial" w:cs="Arial"/>
                <w:color w:val="000000"/>
                <w:sz w:val="20"/>
                <w:szCs w:val="20"/>
                <w:lang w:eastAsia="es-CR"/>
              </w:rPr>
              <w:t>.</w:t>
            </w:r>
          </w:p>
        </w:tc>
      </w:tr>
      <w:tr w:rsidR="00356493" w:rsidRPr="00BB53C0" w14:paraId="53BAED82" w14:textId="77777777" w:rsidTr="00356493">
        <w:trPr>
          <w:trHeight w:val="1860"/>
        </w:trPr>
        <w:tc>
          <w:tcPr>
            <w:tcW w:w="1520" w:type="dxa"/>
            <w:shd w:val="clear" w:color="auto" w:fill="auto"/>
            <w:vAlign w:val="center"/>
            <w:hideMark/>
          </w:tcPr>
          <w:p w14:paraId="75CFE5A2"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240-2020</w:t>
            </w:r>
          </w:p>
        </w:tc>
        <w:tc>
          <w:tcPr>
            <w:tcW w:w="8114" w:type="dxa"/>
            <w:shd w:val="clear" w:color="auto" w:fill="auto"/>
            <w:hideMark/>
          </w:tcPr>
          <w:p w14:paraId="43A95F54"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9932-2020 del Consejo Superior, mediante el cual remite acuerdo de sesión 94-2020 del 30 de setiembre de 2020, artículo XXXVI, sobre plan de trabajo del II circuito Judicial de la Zona Atlántica, ante la declaratoria de emergencia oficio 57-CAIICJZA-2020.</w:t>
            </w:r>
          </w:p>
        </w:tc>
      </w:tr>
      <w:tr w:rsidR="00356493" w:rsidRPr="00BB53C0" w14:paraId="5DB3A48F" w14:textId="77777777" w:rsidTr="00356493">
        <w:trPr>
          <w:trHeight w:val="1860"/>
        </w:trPr>
        <w:tc>
          <w:tcPr>
            <w:tcW w:w="1520" w:type="dxa"/>
            <w:shd w:val="clear" w:color="auto" w:fill="auto"/>
            <w:vAlign w:val="center"/>
            <w:hideMark/>
          </w:tcPr>
          <w:p w14:paraId="453685D1"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241-2020</w:t>
            </w:r>
          </w:p>
        </w:tc>
        <w:tc>
          <w:tcPr>
            <w:tcW w:w="8114" w:type="dxa"/>
            <w:shd w:val="clear" w:color="auto" w:fill="auto"/>
            <w:hideMark/>
          </w:tcPr>
          <w:p w14:paraId="57B88ADA"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Correo de la señorita Catalina Espinoza Sáenz, de la Escuela Judicial, de fecha 23-10-2020 mediante el cual remite el Informe de la Evaluación de Resultados de la Especialización Penal en el desempeño laboral, para visto bueno de la Comisión. </w:t>
            </w:r>
          </w:p>
        </w:tc>
      </w:tr>
      <w:tr w:rsidR="00356493" w:rsidRPr="00BB53C0" w14:paraId="30C33016" w14:textId="77777777" w:rsidTr="00356493">
        <w:trPr>
          <w:trHeight w:val="1860"/>
        </w:trPr>
        <w:tc>
          <w:tcPr>
            <w:tcW w:w="1520" w:type="dxa"/>
            <w:shd w:val="clear" w:color="auto" w:fill="auto"/>
            <w:vAlign w:val="center"/>
            <w:hideMark/>
          </w:tcPr>
          <w:p w14:paraId="4FBCFA35"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242-2020</w:t>
            </w:r>
          </w:p>
        </w:tc>
        <w:tc>
          <w:tcPr>
            <w:tcW w:w="8114" w:type="dxa"/>
            <w:shd w:val="clear" w:color="auto" w:fill="auto"/>
            <w:hideMark/>
          </w:tcPr>
          <w:p w14:paraId="1FD7B18D"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1308-290-ISEG-SEGA-2020, de la Auditoría Judicial, mediante el cual remite solicitud de informar sobre lo relacionado con los accesos y permisos otorgados a nivel del Ministerio Público, respecto las anotaciones en el Sistema de Registro Electrónico de Mandamientos</w:t>
            </w:r>
            <w:r>
              <w:rPr>
                <w:rFonts w:ascii="Arial" w:eastAsia="Times New Roman" w:hAnsi="Arial" w:cs="Arial"/>
                <w:color w:val="000000"/>
                <w:sz w:val="20"/>
                <w:szCs w:val="20"/>
                <w:lang w:eastAsia="es-CR"/>
              </w:rPr>
              <w:t>.</w:t>
            </w:r>
          </w:p>
        </w:tc>
      </w:tr>
      <w:tr w:rsidR="00356493" w:rsidRPr="00BB53C0" w14:paraId="6015E307" w14:textId="77777777" w:rsidTr="00356493">
        <w:trPr>
          <w:trHeight w:val="1860"/>
        </w:trPr>
        <w:tc>
          <w:tcPr>
            <w:tcW w:w="1520" w:type="dxa"/>
            <w:shd w:val="clear" w:color="auto" w:fill="auto"/>
            <w:vAlign w:val="center"/>
            <w:hideMark/>
          </w:tcPr>
          <w:p w14:paraId="4B1888DE"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243-2020</w:t>
            </w:r>
          </w:p>
        </w:tc>
        <w:tc>
          <w:tcPr>
            <w:tcW w:w="8114" w:type="dxa"/>
            <w:shd w:val="clear" w:color="auto" w:fill="auto"/>
            <w:hideMark/>
          </w:tcPr>
          <w:p w14:paraId="0747946E"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Correo de la licenciada Nuria Villalobos Solano, de fecha 28-10-2020, mediante el cual plantea la consulta correspondiente al conflicto de interpretación de plazos para señalar las causas que vienen acusadas como Tráfico Internacional de Drogas cuando la incautación de droga fue realizada por guardacostas estadounidenses. </w:t>
            </w:r>
          </w:p>
        </w:tc>
      </w:tr>
      <w:tr w:rsidR="00356493" w:rsidRPr="00BB53C0" w14:paraId="6FD1E061" w14:textId="77777777" w:rsidTr="00356493">
        <w:trPr>
          <w:trHeight w:val="1860"/>
        </w:trPr>
        <w:tc>
          <w:tcPr>
            <w:tcW w:w="1520" w:type="dxa"/>
            <w:shd w:val="clear" w:color="auto" w:fill="auto"/>
            <w:vAlign w:val="center"/>
            <w:hideMark/>
          </w:tcPr>
          <w:p w14:paraId="42B35DAF"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244-2020</w:t>
            </w:r>
          </w:p>
        </w:tc>
        <w:tc>
          <w:tcPr>
            <w:tcW w:w="8114" w:type="dxa"/>
            <w:shd w:val="clear" w:color="auto" w:fill="auto"/>
            <w:hideMark/>
          </w:tcPr>
          <w:p w14:paraId="761DC9C1"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10224-2020 del Consejo Superior, mediante el cual comunican el acuerdo de sesión 103-2020 del 27 de octubre de 2020, artículo XXVI, donde se atendió lo concerniente a la coordinación de don Pedro Méndez del Tribunal Penal de Pavas y la denuncia por Acoso Laboral de la señora Cinthya Elena, para que la Comisión y la Gestoría intervengan en dicho despacho. </w:t>
            </w:r>
          </w:p>
        </w:tc>
      </w:tr>
      <w:tr w:rsidR="00356493" w:rsidRPr="00BB53C0" w14:paraId="407BB61E" w14:textId="77777777" w:rsidTr="00356493">
        <w:trPr>
          <w:trHeight w:val="1860"/>
        </w:trPr>
        <w:tc>
          <w:tcPr>
            <w:tcW w:w="1520" w:type="dxa"/>
            <w:shd w:val="clear" w:color="auto" w:fill="auto"/>
            <w:vAlign w:val="center"/>
            <w:hideMark/>
          </w:tcPr>
          <w:p w14:paraId="6199DF66"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245-2020</w:t>
            </w:r>
          </w:p>
        </w:tc>
        <w:tc>
          <w:tcPr>
            <w:tcW w:w="8114" w:type="dxa"/>
            <w:shd w:val="clear" w:color="auto" w:fill="auto"/>
            <w:hideMark/>
          </w:tcPr>
          <w:p w14:paraId="671C3720"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350-STGAJ-2020, de la Secretaría Técnica de Genero y Acceso a la Justicia, mediante el cual remiten informe 702-PLA-ES-2020, sobre variables sociodemográficas, en las diversas materias, para que desde esta jurisdicción se coadyuve en temas de inclusión de datos estadísticos por parte de los despachos judiciales.</w:t>
            </w:r>
          </w:p>
        </w:tc>
      </w:tr>
      <w:tr w:rsidR="00356493" w:rsidRPr="00BB53C0" w14:paraId="3D2FE086" w14:textId="77777777" w:rsidTr="00356493">
        <w:trPr>
          <w:trHeight w:val="1860"/>
        </w:trPr>
        <w:tc>
          <w:tcPr>
            <w:tcW w:w="1520" w:type="dxa"/>
            <w:shd w:val="clear" w:color="auto" w:fill="auto"/>
            <w:vAlign w:val="center"/>
            <w:hideMark/>
          </w:tcPr>
          <w:p w14:paraId="65068186"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246-2020</w:t>
            </w:r>
          </w:p>
        </w:tc>
        <w:tc>
          <w:tcPr>
            <w:tcW w:w="8114" w:type="dxa"/>
            <w:shd w:val="clear" w:color="auto" w:fill="auto"/>
            <w:hideMark/>
          </w:tcPr>
          <w:p w14:paraId="45A3EFB6"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CCA-142-2020 de la Contraloría de Servicios del Poder Judicial, sede Cartago, mediante la cual traslada la consulta con lo acontecido en el expediente 17-000976-0067-PE, sobre la atención de una persona usuaria con triple condición de vulnerabilidad</w:t>
            </w:r>
            <w:r>
              <w:rPr>
                <w:rFonts w:ascii="Arial" w:eastAsia="Times New Roman" w:hAnsi="Arial" w:cs="Arial"/>
                <w:color w:val="000000"/>
                <w:sz w:val="20"/>
                <w:szCs w:val="20"/>
                <w:lang w:eastAsia="es-CR"/>
              </w:rPr>
              <w:t>.</w:t>
            </w:r>
          </w:p>
        </w:tc>
      </w:tr>
      <w:tr w:rsidR="00356493" w:rsidRPr="00BB53C0" w14:paraId="0E865095" w14:textId="77777777" w:rsidTr="00356493">
        <w:trPr>
          <w:trHeight w:val="1860"/>
        </w:trPr>
        <w:tc>
          <w:tcPr>
            <w:tcW w:w="1520" w:type="dxa"/>
            <w:shd w:val="clear" w:color="auto" w:fill="auto"/>
            <w:vAlign w:val="center"/>
            <w:hideMark/>
          </w:tcPr>
          <w:p w14:paraId="70C5527D"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247-2020</w:t>
            </w:r>
          </w:p>
        </w:tc>
        <w:tc>
          <w:tcPr>
            <w:tcW w:w="8114" w:type="dxa"/>
            <w:shd w:val="clear" w:color="auto" w:fill="auto"/>
            <w:hideMark/>
          </w:tcPr>
          <w:p w14:paraId="5CFA6F22"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9979-2020 del Consejo Superior, mediante el cual remite acuerdo de sesión 97-2020 de 8 de octubre de 2020, artículo XLIX, mediante el cual se conoció lo concerniente al informe 1490-PLA-MI-2020, relacionado con el resumen de los antecedentes y situación actual respecto a las plazas de Custodias y Custodios de personas detenidas y el oficio CJP158-2020. </w:t>
            </w:r>
          </w:p>
        </w:tc>
      </w:tr>
      <w:tr w:rsidR="00356493" w:rsidRPr="00BB53C0" w14:paraId="4D8D7C61" w14:textId="77777777" w:rsidTr="00356493">
        <w:trPr>
          <w:trHeight w:val="1860"/>
        </w:trPr>
        <w:tc>
          <w:tcPr>
            <w:tcW w:w="1520" w:type="dxa"/>
            <w:shd w:val="clear" w:color="auto" w:fill="auto"/>
            <w:vAlign w:val="center"/>
            <w:hideMark/>
          </w:tcPr>
          <w:p w14:paraId="51CE26D0"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248-2020</w:t>
            </w:r>
          </w:p>
        </w:tc>
        <w:tc>
          <w:tcPr>
            <w:tcW w:w="8114" w:type="dxa"/>
            <w:shd w:val="clear" w:color="auto" w:fill="auto"/>
            <w:hideMark/>
          </w:tcPr>
          <w:p w14:paraId="6CB3ECBA"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10550-2020 del Consejo Superior, comunicando acuerdo de sesión 100-2020, del 20 de octubre de 2020, artículo LI, mediante el cual comunican lo resuelto mediante oficio 1568-UAMP-2020, y hacen este acuerdo de conocimiento de los gestores de las diferentes jurisdicciones para que en conjunto con la Dirección de Planificación, presenten una propuesta para la disminución de horas extra en cada materia. </w:t>
            </w:r>
          </w:p>
        </w:tc>
      </w:tr>
      <w:tr w:rsidR="00356493" w:rsidRPr="00BB53C0" w14:paraId="41EEB182" w14:textId="77777777" w:rsidTr="00356493">
        <w:trPr>
          <w:trHeight w:val="1860"/>
        </w:trPr>
        <w:tc>
          <w:tcPr>
            <w:tcW w:w="1520" w:type="dxa"/>
            <w:shd w:val="clear" w:color="auto" w:fill="auto"/>
            <w:vAlign w:val="center"/>
            <w:hideMark/>
          </w:tcPr>
          <w:p w14:paraId="47E962CA"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249-2020</w:t>
            </w:r>
          </w:p>
        </w:tc>
        <w:tc>
          <w:tcPr>
            <w:tcW w:w="8114" w:type="dxa"/>
            <w:shd w:val="clear" w:color="auto" w:fill="auto"/>
            <w:hideMark/>
          </w:tcPr>
          <w:p w14:paraId="5F7FB925"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10625-2020 del Consejo Superior, mediante el cual comunican acuerdo de sesión 106-2020 del 5 de noviembre de 2020, artículo XXXIV, mediante el cual se conoció la nota del señor Juez de Pavas, mediante el cual se solicita a la Comisión, rinda criterio sobre lo expuesto por el licenciado Willy Escalante Quirós, Juez Coordinador interino del Tribunal Penal del Tercer Circuito Judicial de San José. </w:t>
            </w:r>
          </w:p>
        </w:tc>
      </w:tr>
      <w:tr w:rsidR="00356493" w:rsidRPr="00BB53C0" w14:paraId="101F9DF1" w14:textId="77777777" w:rsidTr="00356493">
        <w:trPr>
          <w:trHeight w:val="1860"/>
        </w:trPr>
        <w:tc>
          <w:tcPr>
            <w:tcW w:w="1520" w:type="dxa"/>
            <w:shd w:val="clear" w:color="auto" w:fill="auto"/>
            <w:vAlign w:val="center"/>
            <w:hideMark/>
          </w:tcPr>
          <w:p w14:paraId="7D1CA5BC"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250-2020</w:t>
            </w:r>
          </w:p>
        </w:tc>
        <w:tc>
          <w:tcPr>
            <w:tcW w:w="8114" w:type="dxa"/>
            <w:shd w:val="clear" w:color="auto" w:fill="auto"/>
            <w:hideMark/>
          </w:tcPr>
          <w:p w14:paraId="4F0F1183"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Correo de la licenciada Cinthia Sáenz Valerio, Jueza Contravencional de Heredia, mediante el cual traslada consulta sobre el uso del protocolo para las audiencias de resolución alterna de conflictos y Justicia Restaurativa en conciliaciones.</w:t>
            </w:r>
          </w:p>
        </w:tc>
      </w:tr>
      <w:tr w:rsidR="00356493" w:rsidRPr="00BB53C0" w14:paraId="0F4F995D" w14:textId="77777777" w:rsidTr="00356493">
        <w:trPr>
          <w:trHeight w:val="1860"/>
        </w:trPr>
        <w:tc>
          <w:tcPr>
            <w:tcW w:w="1520" w:type="dxa"/>
            <w:shd w:val="clear" w:color="auto" w:fill="auto"/>
            <w:vAlign w:val="center"/>
            <w:hideMark/>
          </w:tcPr>
          <w:p w14:paraId="27FAE7BD"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251-2020</w:t>
            </w:r>
          </w:p>
        </w:tc>
        <w:tc>
          <w:tcPr>
            <w:tcW w:w="8114" w:type="dxa"/>
            <w:shd w:val="clear" w:color="auto" w:fill="auto"/>
            <w:hideMark/>
          </w:tcPr>
          <w:p w14:paraId="5F99188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CACC-612-2020 de la Subcomisión de Acceso a la Justicia de Poblaciones en Situación de Discapacidad, mediante el cual se remite acuerdo donde se dispuso Solicitar al Centro de Apoyo, Coordinación y Mejoramiento de la Función Jurisdiccional, Centro de Conciliación del Poder Judicial y a las Comisiones Jurisdiccionales de Agrario, Penal, Contencioso Administrativo, Civil, Laboral y Familia, hacer una atenta instancia a las personas juzgadoras para que analicen los contenidos de la circular y su aplicación, con absoluto respeto al principio de independencia judicial. </w:t>
            </w:r>
          </w:p>
        </w:tc>
      </w:tr>
      <w:tr w:rsidR="00356493" w:rsidRPr="00BB53C0" w14:paraId="5190C583" w14:textId="77777777" w:rsidTr="00356493">
        <w:trPr>
          <w:trHeight w:val="1860"/>
        </w:trPr>
        <w:tc>
          <w:tcPr>
            <w:tcW w:w="1520" w:type="dxa"/>
            <w:shd w:val="clear" w:color="auto" w:fill="auto"/>
            <w:vAlign w:val="center"/>
            <w:hideMark/>
          </w:tcPr>
          <w:p w14:paraId="7BBB4AD7"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252-2020</w:t>
            </w:r>
          </w:p>
        </w:tc>
        <w:tc>
          <w:tcPr>
            <w:tcW w:w="8114" w:type="dxa"/>
            <w:shd w:val="clear" w:color="auto" w:fill="auto"/>
            <w:hideMark/>
          </w:tcPr>
          <w:p w14:paraId="5B3313F0"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10781-2020 del Consejo Superior, mediante el cual se conoció sesión 105-2020 de 03-11-2020 artículo III; donde se conoció se autorizó a la licenciada Heidi Ulate Torres, Jueza Penal del Primer Circuito Judicial de San José, para que realizara las audiencias preliminares</w:t>
            </w:r>
            <w:r>
              <w:rPr>
                <w:rFonts w:ascii="Arial" w:eastAsia="Times New Roman" w:hAnsi="Arial" w:cs="Arial"/>
                <w:color w:val="000000"/>
                <w:sz w:val="20"/>
                <w:szCs w:val="20"/>
                <w:lang w:eastAsia="es-CR"/>
              </w:rPr>
              <w:t>.</w:t>
            </w:r>
          </w:p>
        </w:tc>
      </w:tr>
      <w:tr w:rsidR="00356493" w:rsidRPr="00BB53C0" w14:paraId="5133B03C" w14:textId="77777777" w:rsidTr="00356493">
        <w:trPr>
          <w:trHeight w:val="1860"/>
        </w:trPr>
        <w:tc>
          <w:tcPr>
            <w:tcW w:w="1520" w:type="dxa"/>
            <w:shd w:val="clear" w:color="auto" w:fill="auto"/>
            <w:vAlign w:val="center"/>
            <w:hideMark/>
          </w:tcPr>
          <w:p w14:paraId="39F61EF0"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253-2020</w:t>
            </w:r>
          </w:p>
        </w:tc>
        <w:tc>
          <w:tcPr>
            <w:tcW w:w="8114" w:type="dxa"/>
            <w:shd w:val="clear" w:color="auto" w:fill="auto"/>
            <w:hideMark/>
          </w:tcPr>
          <w:p w14:paraId="320DA9B1"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10782-2020 del Consejo Superior, remitiendo acuerdo de sesión 105-2020 del 3-11-2020, artículo V, sobre informe de Acta de Visita al Tribunal de Juicio de Pavas, presentado por el Tribunal de la Inspección Judicial</w:t>
            </w:r>
            <w:r>
              <w:rPr>
                <w:rFonts w:ascii="Arial" w:eastAsia="Times New Roman" w:hAnsi="Arial" w:cs="Arial"/>
                <w:color w:val="000000"/>
                <w:sz w:val="20"/>
                <w:szCs w:val="20"/>
                <w:lang w:eastAsia="es-CR"/>
              </w:rPr>
              <w:t>.</w:t>
            </w:r>
          </w:p>
        </w:tc>
      </w:tr>
      <w:tr w:rsidR="00356493" w:rsidRPr="00BB53C0" w14:paraId="72B4CCBB" w14:textId="77777777" w:rsidTr="00356493">
        <w:trPr>
          <w:trHeight w:val="1860"/>
        </w:trPr>
        <w:tc>
          <w:tcPr>
            <w:tcW w:w="1520" w:type="dxa"/>
            <w:shd w:val="clear" w:color="auto" w:fill="auto"/>
            <w:vAlign w:val="center"/>
            <w:hideMark/>
          </w:tcPr>
          <w:p w14:paraId="46FCCBD5"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254-2020</w:t>
            </w:r>
          </w:p>
        </w:tc>
        <w:tc>
          <w:tcPr>
            <w:tcW w:w="8114" w:type="dxa"/>
            <w:shd w:val="clear" w:color="auto" w:fill="auto"/>
            <w:hideMark/>
          </w:tcPr>
          <w:p w14:paraId="6B2482A4"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10851-2020 del Consejo Superior, mediante el cual remite el acuerdo de sesión 110-2020 del 12 de noviembre de 2020, artículo LIX, donde se conoció consulta sobre circular 140-2020. Se acordó hacer de conocimiento de las comisiones jurisdiccionales. </w:t>
            </w:r>
          </w:p>
        </w:tc>
      </w:tr>
      <w:tr w:rsidR="00356493" w:rsidRPr="00BB53C0" w14:paraId="106E676F" w14:textId="77777777" w:rsidTr="00356493">
        <w:trPr>
          <w:trHeight w:val="1860"/>
        </w:trPr>
        <w:tc>
          <w:tcPr>
            <w:tcW w:w="1520" w:type="dxa"/>
            <w:shd w:val="clear" w:color="auto" w:fill="auto"/>
            <w:vAlign w:val="center"/>
            <w:hideMark/>
          </w:tcPr>
          <w:p w14:paraId="1D1F0537"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255-2020</w:t>
            </w:r>
          </w:p>
        </w:tc>
        <w:tc>
          <w:tcPr>
            <w:tcW w:w="8114" w:type="dxa"/>
            <w:shd w:val="clear" w:color="auto" w:fill="auto"/>
            <w:hideMark/>
          </w:tcPr>
          <w:p w14:paraId="4A17DC62"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10794-2020 del Consejo Superior, comunicando acuerdo de sesión 105-2020 del 03 de noviembre de 2020, artículo XXXIV, 1502-PLA-PP-2020, informe relacionado con el Costo de la Justicia del año 2019. </w:t>
            </w:r>
          </w:p>
        </w:tc>
      </w:tr>
      <w:tr w:rsidR="00356493" w:rsidRPr="00BB53C0" w14:paraId="237A390B" w14:textId="77777777" w:rsidTr="00356493">
        <w:trPr>
          <w:trHeight w:val="1860"/>
        </w:trPr>
        <w:tc>
          <w:tcPr>
            <w:tcW w:w="1520" w:type="dxa"/>
            <w:shd w:val="clear" w:color="auto" w:fill="auto"/>
            <w:vAlign w:val="center"/>
            <w:hideMark/>
          </w:tcPr>
          <w:p w14:paraId="7682B9E7"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256-2020</w:t>
            </w:r>
          </w:p>
        </w:tc>
        <w:tc>
          <w:tcPr>
            <w:tcW w:w="8114" w:type="dxa"/>
            <w:shd w:val="clear" w:color="auto" w:fill="auto"/>
            <w:hideMark/>
          </w:tcPr>
          <w:p w14:paraId="1022D60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10819-2020 del Consejo Superior, comunicando acuerdo de sesión 110-2020 del 12 de noviembre de 2020, artículo XX, donde se conoció el acta de visita realizada en el Tribunal Penal del Tercer Circuito Judicial de San José, sede Desamparados, durante los días 21 y 22 de octubre de 2020. Se copia a la Comisión para conocimiento. </w:t>
            </w:r>
          </w:p>
        </w:tc>
      </w:tr>
      <w:tr w:rsidR="00356493" w:rsidRPr="00BB53C0" w14:paraId="342D93CE" w14:textId="77777777" w:rsidTr="00356493">
        <w:trPr>
          <w:trHeight w:val="1860"/>
        </w:trPr>
        <w:tc>
          <w:tcPr>
            <w:tcW w:w="1520" w:type="dxa"/>
            <w:shd w:val="clear" w:color="auto" w:fill="auto"/>
            <w:vAlign w:val="center"/>
            <w:hideMark/>
          </w:tcPr>
          <w:p w14:paraId="22EB14B1"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257-2020</w:t>
            </w:r>
          </w:p>
        </w:tc>
        <w:tc>
          <w:tcPr>
            <w:tcW w:w="8114" w:type="dxa"/>
            <w:shd w:val="clear" w:color="auto" w:fill="auto"/>
            <w:hideMark/>
          </w:tcPr>
          <w:p w14:paraId="2F859EE5"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10424-2020 del Consejo Superior, comunicando acuerdo de sesión 102-2020 del 22 de octubre de 2020, artículo XXVI, donde se conoció el informe N° PJ-DGH-0174-2020 presentado por la Dirección de Gestión Humana que conlleva los ajustes respectivos en la relación de puestos del Poder Judicial, entre ellos los puestos 103245 y 378561. Se dispuso comunicar para conocimiento a la Comisión.</w:t>
            </w:r>
          </w:p>
        </w:tc>
      </w:tr>
      <w:tr w:rsidR="00356493" w:rsidRPr="00BB53C0" w14:paraId="57FEE842" w14:textId="77777777" w:rsidTr="00356493">
        <w:trPr>
          <w:trHeight w:val="1860"/>
        </w:trPr>
        <w:tc>
          <w:tcPr>
            <w:tcW w:w="1520" w:type="dxa"/>
            <w:shd w:val="clear" w:color="auto" w:fill="auto"/>
            <w:vAlign w:val="center"/>
            <w:hideMark/>
          </w:tcPr>
          <w:p w14:paraId="538C0CCB"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258-2020</w:t>
            </w:r>
          </w:p>
        </w:tc>
        <w:tc>
          <w:tcPr>
            <w:tcW w:w="8114" w:type="dxa"/>
            <w:shd w:val="clear" w:color="auto" w:fill="auto"/>
            <w:hideMark/>
          </w:tcPr>
          <w:p w14:paraId="3ED3A21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10948-2020 del Consejo Superior, mediante el cual se conoció la sesión 104-2020 del 29 de octubre de 2020, artículo XXXII, correspondiente Unidad de Celdas de la Delegación Regional del I Circuito Judicial de Alajuela, atraviesa una situación crítica producto de directrices emanadas por instancias judiciales en relación a medidas sanitarias por Covid-19, tal y como se puede evidenciar en el informe de fecha 02 de octubre del año en curso, se dispuso hacer de conocimiento de la Comisión.</w:t>
            </w:r>
          </w:p>
        </w:tc>
      </w:tr>
      <w:tr w:rsidR="00356493" w:rsidRPr="00BB53C0" w14:paraId="4D4477BE" w14:textId="77777777" w:rsidTr="00356493">
        <w:trPr>
          <w:trHeight w:val="1860"/>
        </w:trPr>
        <w:tc>
          <w:tcPr>
            <w:tcW w:w="1520" w:type="dxa"/>
            <w:shd w:val="clear" w:color="auto" w:fill="auto"/>
            <w:vAlign w:val="center"/>
            <w:hideMark/>
          </w:tcPr>
          <w:p w14:paraId="69210EE1"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259-2020</w:t>
            </w:r>
          </w:p>
        </w:tc>
        <w:tc>
          <w:tcPr>
            <w:tcW w:w="8114" w:type="dxa"/>
            <w:shd w:val="clear" w:color="auto" w:fill="auto"/>
            <w:hideMark/>
          </w:tcPr>
          <w:p w14:paraId="3444C4F3"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1898-PLA-ES-2020, de la Dirección de Planificación, mediante el cual remiten informe definitivo relacionado con el análisis y cuadros estadísticos de los movimientos de trabajo en los Tribunales Penales, durante el 2018 y el último quinquenio</w:t>
            </w:r>
            <w:r>
              <w:rPr>
                <w:rFonts w:ascii="Arial" w:eastAsia="Times New Roman" w:hAnsi="Arial" w:cs="Arial"/>
                <w:color w:val="000000"/>
                <w:sz w:val="20"/>
                <w:szCs w:val="20"/>
                <w:lang w:eastAsia="es-CR"/>
              </w:rPr>
              <w:t>.</w:t>
            </w:r>
            <w:r w:rsidRPr="00BB53C0">
              <w:rPr>
                <w:rFonts w:ascii="Arial" w:eastAsia="Times New Roman" w:hAnsi="Arial" w:cs="Arial"/>
                <w:color w:val="000000"/>
                <w:sz w:val="20"/>
                <w:szCs w:val="20"/>
                <w:lang w:eastAsia="es-CR"/>
              </w:rPr>
              <w:t xml:space="preserve"> </w:t>
            </w:r>
          </w:p>
        </w:tc>
      </w:tr>
      <w:tr w:rsidR="00356493" w:rsidRPr="00BB53C0" w14:paraId="2E97732C" w14:textId="77777777" w:rsidTr="00356493">
        <w:trPr>
          <w:trHeight w:val="1860"/>
        </w:trPr>
        <w:tc>
          <w:tcPr>
            <w:tcW w:w="1520" w:type="dxa"/>
            <w:shd w:val="clear" w:color="auto" w:fill="auto"/>
            <w:vAlign w:val="center"/>
            <w:hideMark/>
          </w:tcPr>
          <w:p w14:paraId="56B28937"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260-2020</w:t>
            </w:r>
          </w:p>
        </w:tc>
        <w:tc>
          <w:tcPr>
            <w:tcW w:w="8114" w:type="dxa"/>
            <w:shd w:val="clear" w:color="auto" w:fill="auto"/>
            <w:hideMark/>
          </w:tcPr>
          <w:p w14:paraId="1A46F0FA"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1892-PLA-MI-OI-2020, de la Dirección de Planificación, mediante el cual remite el informe relacionado con el abordaje realizado a las oficinas de Flagrancia del Primer y Segundo Circuito Judicial de San José (Defensa Pública – Ministerio Público – Judicatura)</w:t>
            </w:r>
            <w:r>
              <w:rPr>
                <w:rFonts w:ascii="Arial" w:eastAsia="Times New Roman" w:hAnsi="Arial" w:cs="Arial"/>
                <w:color w:val="000000"/>
                <w:sz w:val="20"/>
                <w:szCs w:val="20"/>
                <w:lang w:eastAsia="es-CR"/>
              </w:rPr>
              <w:t>.</w:t>
            </w:r>
          </w:p>
        </w:tc>
      </w:tr>
      <w:tr w:rsidR="00356493" w:rsidRPr="00BB53C0" w14:paraId="41496268" w14:textId="77777777" w:rsidTr="00356493">
        <w:trPr>
          <w:trHeight w:val="1860"/>
        </w:trPr>
        <w:tc>
          <w:tcPr>
            <w:tcW w:w="1520" w:type="dxa"/>
            <w:shd w:val="clear" w:color="auto" w:fill="auto"/>
            <w:vAlign w:val="center"/>
            <w:hideMark/>
          </w:tcPr>
          <w:p w14:paraId="032A3C59"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261-2020</w:t>
            </w:r>
          </w:p>
        </w:tc>
        <w:tc>
          <w:tcPr>
            <w:tcW w:w="8114" w:type="dxa"/>
            <w:shd w:val="clear" w:color="auto" w:fill="auto"/>
            <w:hideMark/>
          </w:tcPr>
          <w:p w14:paraId="0659E240"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1935-PLA-EV-2020, de la Dirección de Planificación, mediante el cual remiten el informe relacionado con la propuesta de las secciones de Flagrancia para realizar juicios durante el cierre colectivo 2020-2021</w:t>
            </w:r>
            <w:r>
              <w:rPr>
                <w:rFonts w:ascii="Arial" w:eastAsia="Times New Roman" w:hAnsi="Arial" w:cs="Arial"/>
                <w:color w:val="000000"/>
                <w:sz w:val="20"/>
                <w:szCs w:val="20"/>
                <w:lang w:eastAsia="es-CR"/>
              </w:rPr>
              <w:t>.</w:t>
            </w:r>
          </w:p>
        </w:tc>
      </w:tr>
      <w:tr w:rsidR="00356493" w:rsidRPr="00BB53C0" w14:paraId="7B04E831" w14:textId="77777777" w:rsidTr="00356493">
        <w:trPr>
          <w:trHeight w:val="1860"/>
        </w:trPr>
        <w:tc>
          <w:tcPr>
            <w:tcW w:w="1520" w:type="dxa"/>
            <w:shd w:val="clear" w:color="auto" w:fill="auto"/>
            <w:vAlign w:val="center"/>
            <w:hideMark/>
          </w:tcPr>
          <w:p w14:paraId="3751003F"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262-2020</w:t>
            </w:r>
          </w:p>
        </w:tc>
        <w:tc>
          <w:tcPr>
            <w:tcW w:w="8114" w:type="dxa"/>
            <w:shd w:val="clear" w:color="auto" w:fill="auto"/>
            <w:hideMark/>
          </w:tcPr>
          <w:p w14:paraId="39833E97"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1939-PLA-ES-2020, de la Dirección de Planificación, mediante el cual remiten el informe relacionado con el número de personas sentenciadas en los tribunales penales del país, durante el 2019.</w:t>
            </w:r>
          </w:p>
        </w:tc>
      </w:tr>
      <w:tr w:rsidR="00356493" w:rsidRPr="00BB53C0" w14:paraId="5A0FBCA4" w14:textId="77777777" w:rsidTr="00356493">
        <w:trPr>
          <w:trHeight w:val="1860"/>
        </w:trPr>
        <w:tc>
          <w:tcPr>
            <w:tcW w:w="1520" w:type="dxa"/>
            <w:shd w:val="clear" w:color="auto" w:fill="auto"/>
            <w:vAlign w:val="center"/>
            <w:hideMark/>
          </w:tcPr>
          <w:p w14:paraId="064C88A1"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263-2020</w:t>
            </w:r>
          </w:p>
        </w:tc>
        <w:tc>
          <w:tcPr>
            <w:tcW w:w="8114" w:type="dxa"/>
            <w:shd w:val="clear" w:color="auto" w:fill="auto"/>
            <w:hideMark/>
          </w:tcPr>
          <w:p w14:paraId="41224076"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1938-PLA-ES-2020, de la Dirección de Planificación, mediante el cual remiten el informe relacionado con los movimientos de trabajo en los Juzgados de Ejecución de la Pena (materia Penal adultos), durante el 2019 y el último quinquenio. Nos dan 22 días naturales plazo</w:t>
            </w:r>
            <w:r>
              <w:rPr>
                <w:rFonts w:ascii="Arial" w:eastAsia="Times New Roman" w:hAnsi="Arial" w:cs="Arial"/>
                <w:color w:val="000000"/>
                <w:sz w:val="20"/>
                <w:szCs w:val="20"/>
                <w:lang w:eastAsia="es-CR"/>
              </w:rPr>
              <w:t>.</w:t>
            </w:r>
          </w:p>
        </w:tc>
      </w:tr>
      <w:tr w:rsidR="00356493" w:rsidRPr="00BB53C0" w14:paraId="437A1E7D" w14:textId="77777777" w:rsidTr="00356493">
        <w:trPr>
          <w:trHeight w:val="1860"/>
        </w:trPr>
        <w:tc>
          <w:tcPr>
            <w:tcW w:w="1520" w:type="dxa"/>
            <w:shd w:val="clear" w:color="auto" w:fill="auto"/>
            <w:vAlign w:val="center"/>
            <w:hideMark/>
          </w:tcPr>
          <w:p w14:paraId="28C4CE40"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264-2020</w:t>
            </w:r>
          </w:p>
        </w:tc>
        <w:tc>
          <w:tcPr>
            <w:tcW w:w="8114" w:type="dxa"/>
            <w:shd w:val="clear" w:color="auto" w:fill="auto"/>
            <w:hideMark/>
          </w:tcPr>
          <w:p w14:paraId="21292B98"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1941-PLA-ES-2020, de la Dirección de Planificación, mediante el cual remiten el informe relacionado con los secuestros extorsivos ocurridos durante el 2019 y el último quinquenio. </w:t>
            </w:r>
          </w:p>
        </w:tc>
      </w:tr>
      <w:tr w:rsidR="00356493" w:rsidRPr="00BB53C0" w14:paraId="646CD90D" w14:textId="77777777" w:rsidTr="00356493">
        <w:trPr>
          <w:trHeight w:val="1860"/>
        </w:trPr>
        <w:tc>
          <w:tcPr>
            <w:tcW w:w="1520" w:type="dxa"/>
            <w:shd w:val="clear" w:color="auto" w:fill="auto"/>
            <w:vAlign w:val="center"/>
            <w:hideMark/>
          </w:tcPr>
          <w:p w14:paraId="3EF08B0F"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265-2020</w:t>
            </w:r>
          </w:p>
        </w:tc>
        <w:tc>
          <w:tcPr>
            <w:tcW w:w="8114" w:type="dxa"/>
            <w:shd w:val="clear" w:color="auto" w:fill="auto"/>
            <w:hideMark/>
          </w:tcPr>
          <w:p w14:paraId="2D139CA3"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1942-PLA-ES-2020, de la Dirección de Planificación, mediante el cual remiten el informe relacionado con las muertes accidentales ocurridas durante el 2019. </w:t>
            </w:r>
          </w:p>
        </w:tc>
      </w:tr>
      <w:tr w:rsidR="00356493" w:rsidRPr="00BB53C0" w14:paraId="6E4A3483" w14:textId="77777777" w:rsidTr="00356493">
        <w:trPr>
          <w:trHeight w:val="1860"/>
        </w:trPr>
        <w:tc>
          <w:tcPr>
            <w:tcW w:w="1520" w:type="dxa"/>
            <w:shd w:val="clear" w:color="auto" w:fill="auto"/>
            <w:vAlign w:val="center"/>
            <w:hideMark/>
          </w:tcPr>
          <w:p w14:paraId="3ECFBEA2"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266-2020</w:t>
            </w:r>
          </w:p>
        </w:tc>
        <w:tc>
          <w:tcPr>
            <w:tcW w:w="8114" w:type="dxa"/>
            <w:shd w:val="clear" w:color="auto" w:fill="auto"/>
            <w:hideMark/>
          </w:tcPr>
          <w:p w14:paraId="42D130CE"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11365-2020, del Consejo Superior, remitiendo acuerdo de sesión 111-2020, del 17 de noviembre de 2020, artículo XXXIX, mediante el cual remite el oficio FGR-1343-2020, sobre tema de disponibilidad en materia contravencional.</w:t>
            </w:r>
          </w:p>
        </w:tc>
      </w:tr>
      <w:tr w:rsidR="00356493" w:rsidRPr="00BB53C0" w14:paraId="1917AF05" w14:textId="77777777" w:rsidTr="00356493">
        <w:trPr>
          <w:trHeight w:val="1860"/>
        </w:trPr>
        <w:tc>
          <w:tcPr>
            <w:tcW w:w="1520" w:type="dxa"/>
            <w:shd w:val="clear" w:color="auto" w:fill="auto"/>
            <w:vAlign w:val="center"/>
            <w:hideMark/>
          </w:tcPr>
          <w:p w14:paraId="2FCD7216"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267-2020</w:t>
            </w:r>
          </w:p>
        </w:tc>
        <w:tc>
          <w:tcPr>
            <w:tcW w:w="8114" w:type="dxa"/>
            <w:shd w:val="clear" w:color="auto" w:fill="auto"/>
            <w:hideMark/>
          </w:tcPr>
          <w:p w14:paraId="779E906D"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11427-2020 del Corte Plena, remitiendo acuerdo de sesión 67-2020 del 16 de noviembre de 2020, artículo XVI, sobre el oficio del Auditor Judicial, en oficio N° 1134-55-FIS-SATI-2020 sobre. “Evaluación de los mecanismos de almacenamiento de audiencias orales”. </w:t>
            </w:r>
          </w:p>
        </w:tc>
      </w:tr>
      <w:tr w:rsidR="00356493" w:rsidRPr="00BB53C0" w14:paraId="0359FD54" w14:textId="77777777" w:rsidTr="00356493">
        <w:trPr>
          <w:trHeight w:val="1860"/>
        </w:trPr>
        <w:tc>
          <w:tcPr>
            <w:tcW w:w="1520" w:type="dxa"/>
            <w:shd w:val="clear" w:color="auto" w:fill="auto"/>
            <w:vAlign w:val="center"/>
            <w:hideMark/>
          </w:tcPr>
          <w:p w14:paraId="3CA20B63"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268-2020</w:t>
            </w:r>
          </w:p>
        </w:tc>
        <w:tc>
          <w:tcPr>
            <w:tcW w:w="8114" w:type="dxa"/>
            <w:shd w:val="clear" w:color="auto" w:fill="auto"/>
            <w:hideMark/>
          </w:tcPr>
          <w:p w14:paraId="2F9BB420"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1975-PLA-MI-2020, de la Dirección de Planificación, mediante el cual nos remite el informe relacionado con los resultados del abordaje realizado en la Delegación Regional del Organismo de Investigación Judicial de Heredia</w:t>
            </w:r>
            <w:r>
              <w:rPr>
                <w:rFonts w:ascii="Arial" w:eastAsia="Times New Roman" w:hAnsi="Arial" w:cs="Arial"/>
                <w:color w:val="000000"/>
                <w:sz w:val="20"/>
                <w:szCs w:val="20"/>
                <w:lang w:eastAsia="es-CR"/>
              </w:rPr>
              <w:t>.</w:t>
            </w:r>
          </w:p>
        </w:tc>
      </w:tr>
      <w:tr w:rsidR="00356493" w:rsidRPr="00BB53C0" w14:paraId="091EA214" w14:textId="77777777" w:rsidTr="00356493">
        <w:trPr>
          <w:trHeight w:val="1860"/>
        </w:trPr>
        <w:tc>
          <w:tcPr>
            <w:tcW w:w="1520" w:type="dxa"/>
            <w:shd w:val="clear" w:color="auto" w:fill="auto"/>
            <w:vAlign w:val="center"/>
            <w:hideMark/>
          </w:tcPr>
          <w:p w14:paraId="2E5840DB"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269-2020</w:t>
            </w:r>
          </w:p>
        </w:tc>
        <w:tc>
          <w:tcPr>
            <w:tcW w:w="8114" w:type="dxa"/>
            <w:shd w:val="clear" w:color="auto" w:fill="auto"/>
            <w:hideMark/>
          </w:tcPr>
          <w:p w14:paraId="0ABCD406"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2013-PLA-PP-PE-2020, de la Dirección de Planificación, mediante el cual remiten el informe correspondiente al análisis de las necesidades de permisos con goce de salario para el año 2021. </w:t>
            </w:r>
          </w:p>
        </w:tc>
      </w:tr>
      <w:tr w:rsidR="00356493" w:rsidRPr="00BB53C0" w14:paraId="03000BD9" w14:textId="77777777" w:rsidTr="00356493">
        <w:trPr>
          <w:trHeight w:val="1860"/>
        </w:trPr>
        <w:tc>
          <w:tcPr>
            <w:tcW w:w="1520" w:type="dxa"/>
            <w:shd w:val="clear" w:color="auto" w:fill="auto"/>
            <w:vAlign w:val="center"/>
            <w:hideMark/>
          </w:tcPr>
          <w:p w14:paraId="773CA012"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270-2020</w:t>
            </w:r>
          </w:p>
        </w:tc>
        <w:tc>
          <w:tcPr>
            <w:tcW w:w="8114" w:type="dxa"/>
            <w:shd w:val="clear" w:color="auto" w:fill="auto"/>
            <w:hideMark/>
          </w:tcPr>
          <w:p w14:paraId="6BD5C554"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11570-2020 del Consejo Superior, mediante el cual remiten el acuerdo de sesión 113-2020 del 24 de noviembre de 2020, artículo IX, donde se conoció el acta de visita del Tribunal de la Inspección Judicial, al Tribunal de Juicio y Flagrancia de San Carlos, se dispuso hacer de conocimiento de la Comisión. </w:t>
            </w:r>
          </w:p>
        </w:tc>
      </w:tr>
      <w:tr w:rsidR="00356493" w:rsidRPr="00BB53C0" w14:paraId="043FB7AA" w14:textId="77777777" w:rsidTr="00356493">
        <w:trPr>
          <w:trHeight w:val="1860"/>
        </w:trPr>
        <w:tc>
          <w:tcPr>
            <w:tcW w:w="1520" w:type="dxa"/>
            <w:shd w:val="clear" w:color="auto" w:fill="auto"/>
            <w:vAlign w:val="center"/>
            <w:hideMark/>
          </w:tcPr>
          <w:p w14:paraId="33D33FB3"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271-2020</w:t>
            </w:r>
          </w:p>
        </w:tc>
        <w:tc>
          <w:tcPr>
            <w:tcW w:w="8114" w:type="dxa"/>
            <w:shd w:val="clear" w:color="auto" w:fill="auto"/>
            <w:hideMark/>
          </w:tcPr>
          <w:p w14:paraId="4A3F94E3"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2448-DTI-2020, de la Dirección de Tecnología de la Información, mediante el cual solicita aclaración respecto a la migración de datos del Sistema de Gestión de Despachos Judiciales al nuevo sistema de gestión “Sistema Integral de Procesos Jurisdiccionales” (SIAGPJ). </w:t>
            </w:r>
          </w:p>
        </w:tc>
      </w:tr>
      <w:tr w:rsidR="00356493" w:rsidRPr="00BB53C0" w14:paraId="3C77A0EA" w14:textId="77777777" w:rsidTr="00356493">
        <w:trPr>
          <w:trHeight w:val="1860"/>
        </w:trPr>
        <w:tc>
          <w:tcPr>
            <w:tcW w:w="1520" w:type="dxa"/>
            <w:shd w:val="clear" w:color="auto" w:fill="auto"/>
            <w:vAlign w:val="center"/>
            <w:hideMark/>
          </w:tcPr>
          <w:p w14:paraId="1B759727"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272-2020</w:t>
            </w:r>
          </w:p>
        </w:tc>
        <w:tc>
          <w:tcPr>
            <w:tcW w:w="8114" w:type="dxa"/>
            <w:shd w:val="clear" w:color="auto" w:fill="auto"/>
            <w:hideMark/>
          </w:tcPr>
          <w:p w14:paraId="093474F5"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2009-PLA-ES-2020, de la Dirección de Planificación, mediante el cual remiten el informe relacionados con los movimientos de trabajo en el Juzgado de Ejecución de las Sanciones Penales Juveniles, durante el 2019 y el último quinquenio. </w:t>
            </w:r>
          </w:p>
        </w:tc>
      </w:tr>
      <w:tr w:rsidR="00356493" w:rsidRPr="00BB53C0" w14:paraId="4A892DE2" w14:textId="77777777" w:rsidTr="00356493">
        <w:trPr>
          <w:trHeight w:val="1860"/>
        </w:trPr>
        <w:tc>
          <w:tcPr>
            <w:tcW w:w="1520" w:type="dxa"/>
            <w:shd w:val="clear" w:color="auto" w:fill="auto"/>
            <w:vAlign w:val="center"/>
            <w:hideMark/>
          </w:tcPr>
          <w:p w14:paraId="5464F68A"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273-2020</w:t>
            </w:r>
          </w:p>
        </w:tc>
        <w:tc>
          <w:tcPr>
            <w:tcW w:w="8114" w:type="dxa"/>
            <w:shd w:val="clear" w:color="auto" w:fill="auto"/>
            <w:hideMark/>
          </w:tcPr>
          <w:p w14:paraId="4052FB8D"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11671-2020 del Consejo Superior, mediante el cual remiten el acuerdo de sesión 118-2020 del 10 de diciembre de 2020, artículo XXIX, en el cual se conoció periodo presupuestario 2021 se han realizado una serie de recortes al presupuesto institucional, Entre las subpartidas que más se han visto afectadas, se encuentran las suplencias (Subpartida 0.01.05) correspondiente a la partida de Remuneraciones</w:t>
            </w:r>
            <w:r>
              <w:rPr>
                <w:rFonts w:ascii="Arial" w:eastAsia="Times New Roman" w:hAnsi="Arial" w:cs="Arial"/>
                <w:color w:val="000000"/>
                <w:sz w:val="20"/>
                <w:szCs w:val="20"/>
                <w:lang w:eastAsia="es-CR"/>
              </w:rPr>
              <w:t>.</w:t>
            </w:r>
          </w:p>
        </w:tc>
      </w:tr>
      <w:tr w:rsidR="00356493" w:rsidRPr="00BB53C0" w14:paraId="071B8842" w14:textId="77777777" w:rsidTr="00356493">
        <w:trPr>
          <w:trHeight w:val="1860"/>
        </w:trPr>
        <w:tc>
          <w:tcPr>
            <w:tcW w:w="1520" w:type="dxa"/>
            <w:shd w:val="clear" w:color="auto" w:fill="auto"/>
            <w:vAlign w:val="center"/>
            <w:hideMark/>
          </w:tcPr>
          <w:p w14:paraId="0BB212E4"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274-2020</w:t>
            </w:r>
          </w:p>
        </w:tc>
        <w:tc>
          <w:tcPr>
            <w:tcW w:w="8114" w:type="dxa"/>
            <w:shd w:val="clear" w:color="auto" w:fill="auto"/>
            <w:hideMark/>
          </w:tcPr>
          <w:p w14:paraId="498B7BD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Gestión por parte de la Gestoría en materia Penal, en el cual traslada la problemática suscitada en Puriscal con la realización de audiencias virtuales en pavas.</w:t>
            </w:r>
          </w:p>
        </w:tc>
      </w:tr>
      <w:tr w:rsidR="00356493" w:rsidRPr="00BB53C0" w14:paraId="04D76BB0" w14:textId="77777777" w:rsidTr="00356493">
        <w:trPr>
          <w:trHeight w:val="1860"/>
        </w:trPr>
        <w:tc>
          <w:tcPr>
            <w:tcW w:w="1520" w:type="dxa"/>
            <w:shd w:val="clear" w:color="auto" w:fill="auto"/>
            <w:vAlign w:val="center"/>
            <w:hideMark/>
          </w:tcPr>
          <w:p w14:paraId="4646FD94"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275-2020</w:t>
            </w:r>
          </w:p>
        </w:tc>
        <w:tc>
          <w:tcPr>
            <w:tcW w:w="8114" w:type="dxa"/>
            <w:shd w:val="clear" w:color="auto" w:fill="auto"/>
            <w:hideMark/>
          </w:tcPr>
          <w:p w14:paraId="2C7AFA0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11741-2020 de la Secretaría de la Corte, mediante el cual comunica lo dispuesto en sesión 67-2020 del 16 de noviembre del 2020, artículo XVI, para la actualización de la circular 198-2013. (procedimiento para la grabación de audiencias orales y actos de investigación</w:t>
            </w:r>
            <w:r>
              <w:rPr>
                <w:rFonts w:ascii="Arial" w:eastAsia="Times New Roman" w:hAnsi="Arial" w:cs="Arial"/>
                <w:color w:val="000000"/>
                <w:sz w:val="20"/>
                <w:szCs w:val="20"/>
                <w:lang w:eastAsia="es-CR"/>
              </w:rPr>
              <w:t>).</w:t>
            </w:r>
          </w:p>
        </w:tc>
      </w:tr>
      <w:tr w:rsidR="00356493" w:rsidRPr="00BB53C0" w14:paraId="138B1ABD" w14:textId="77777777" w:rsidTr="00356493">
        <w:trPr>
          <w:trHeight w:val="1860"/>
        </w:trPr>
        <w:tc>
          <w:tcPr>
            <w:tcW w:w="1520" w:type="dxa"/>
            <w:shd w:val="clear" w:color="auto" w:fill="auto"/>
            <w:vAlign w:val="center"/>
            <w:hideMark/>
          </w:tcPr>
          <w:p w14:paraId="574B03CC"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276-2020</w:t>
            </w:r>
          </w:p>
        </w:tc>
        <w:tc>
          <w:tcPr>
            <w:tcW w:w="8114" w:type="dxa"/>
            <w:shd w:val="clear" w:color="auto" w:fill="auto"/>
            <w:hideMark/>
          </w:tcPr>
          <w:p w14:paraId="73DD802C"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1557-130-IAO-SAO-2020, mediante el cual remiten el informe borrador, correspondiente a la "Evaluación operativa respecto el nivel de prescripción de los procesos y el control y seguimiento de las órdenes de captura vinculadas a estos casos”, para su revisión</w:t>
            </w:r>
            <w:r>
              <w:rPr>
                <w:rFonts w:ascii="Arial" w:eastAsia="Times New Roman" w:hAnsi="Arial" w:cs="Arial"/>
                <w:color w:val="000000"/>
                <w:sz w:val="20"/>
                <w:szCs w:val="20"/>
                <w:lang w:eastAsia="es-CR"/>
              </w:rPr>
              <w:t>.</w:t>
            </w:r>
          </w:p>
        </w:tc>
      </w:tr>
      <w:tr w:rsidR="00356493" w:rsidRPr="00BB53C0" w14:paraId="70C34552" w14:textId="77777777" w:rsidTr="00356493">
        <w:trPr>
          <w:trHeight w:val="1860"/>
        </w:trPr>
        <w:tc>
          <w:tcPr>
            <w:tcW w:w="1520" w:type="dxa"/>
            <w:shd w:val="clear" w:color="auto" w:fill="auto"/>
            <w:vAlign w:val="center"/>
            <w:hideMark/>
          </w:tcPr>
          <w:p w14:paraId="5A8D76C9"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277-2020</w:t>
            </w:r>
          </w:p>
        </w:tc>
        <w:tc>
          <w:tcPr>
            <w:tcW w:w="8114" w:type="dxa"/>
            <w:shd w:val="clear" w:color="auto" w:fill="auto"/>
            <w:hideMark/>
          </w:tcPr>
          <w:p w14:paraId="0012EAB8"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de parte de la Magistrada Rocío Rojas Morales, mediante el cual remite las respuestas a la comisión sobre las inquietudes que nos fueron planteadas por la Comisión de la Jurisdicción Penal, en relación con la reforma a la LOPJ que promueve la Comisión RAC y que busca formalizar la existencia de la jurisdicción. </w:t>
            </w:r>
          </w:p>
        </w:tc>
      </w:tr>
      <w:tr w:rsidR="00356493" w:rsidRPr="00BB53C0" w14:paraId="0C38154C" w14:textId="77777777" w:rsidTr="00356493">
        <w:trPr>
          <w:trHeight w:val="1860"/>
        </w:trPr>
        <w:tc>
          <w:tcPr>
            <w:tcW w:w="1520" w:type="dxa"/>
            <w:shd w:val="clear" w:color="auto" w:fill="auto"/>
            <w:vAlign w:val="center"/>
            <w:hideMark/>
          </w:tcPr>
          <w:p w14:paraId="0E4748A4"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278-2020</w:t>
            </w:r>
          </w:p>
        </w:tc>
        <w:tc>
          <w:tcPr>
            <w:tcW w:w="8114" w:type="dxa"/>
            <w:shd w:val="clear" w:color="auto" w:fill="auto"/>
            <w:hideMark/>
          </w:tcPr>
          <w:p w14:paraId="5FBA616A"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Oficio PICPA-79-2020 de parte de la Jueza Rebeca Salazar Alcócer, gestora agraria, en el cual se comunica acuerdo de la Comisión Agraria con respecto al oficio CACC-319-2020 relacionado a los resultados de capacitación y eventuales sugerencias de mejora</w:t>
            </w:r>
            <w:r>
              <w:rPr>
                <w:rFonts w:ascii="Arial" w:eastAsia="Times New Roman" w:hAnsi="Arial" w:cs="Arial"/>
                <w:color w:val="000000"/>
                <w:sz w:val="20"/>
                <w:szCs w:val="20"/>
                <w:lang w:eastAsia="es-CR"/>
              </w:rPr>
              <w:t>.</w:t>
            </w:r>
            <w:r w:rsidRPr="00BB53C0">
              <w:rPr>
                <w:rFonts w:ascii="Arial" w:eastAsia="Times New Roman" w:hAnsi="Arial" w:cs="Arial"/>
                <w:color w:val="000000"/>
                <w:sz w:val="20"/>
                <w:szCs w:val="20"/>
                <w:lang w:eastAsia="es-CR"/>
              </w:rPr>
              <w:t xml:space="preserve"> </w:t>
            </w:r>
          </w:p>
        </w:tc>
      </w:tr>
      <w:tr w:rsidR="00356493" w:rsidRPr="00BB53C0" w14:paraId="4C9E7DF8" w14:textId="77777777" w:rsidTr="00356493">
        <w:trPr>
          <w:trHeight w:val="1860"/>
        </w:trPr>
        <w:tc>
          <w:tcPr>
            <w:tcW w:w="1520" w:type="dxa"/>
            <w:shd w:val="clear" w:color="auto" w:fill="auto"/>
            <w:vAlign w:val="center"/>
            <w:hideMark/>
          </w:tcPr>
          <w:p w14:paraId="5E95CCC4" w14:textId="77777777" w:rsidR="00356493" w:rsidRPr="00BB53C0" w:rsidRDefault="00356493" w:rsidP="00356493">
            <w:pPr>
              <w:spacing w:after="0" w:line="240" w:lineRule="auto"/>
              <w:jc w:val="center"/>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279-2020</w:t>
            </w:r>
          </w:p>
        </w:tc>
        <w:tc>
          <w:tcPr>
            <w:tcW w:w="8114" w:type="dxa"/>
            <w:shd w:val="clear" w:color="auto" w:fill="auto"/>
            <w:hideMark/>
          </w:tcPr>
          <w:p w14:paraId="33DD51F9" w14:textId="77777777" w:rsidR="00356493" w:rsidRPr="00BB53C0" w:rsidRDefault="00356493" w:rsidP="00356493">
            <w:pPr>
              <w:spacing w:after="0" w:line="240" w:lineRule="auto"/>
              <w:jc w:val="both"/>
              <w:rPr>
                <w:rFonts w:ascii="Arial" w:eastAsia="Times New Roman" w:hAnsi="Arial" w:cs="Arial"/>
                <w:color w:val="000000"/>
                <w:sz w:val="20"/>
                <w:szCs w:val="20"/>
                <w:lang w:eastAsia="es-CR"/>
              </w:rPr>
            </w:pPr>
            <w:r w:rsidRPr="00BB53C0">
              <w:rPr>
                <w:rFonts w:ascii="Arial" w:eastAsia="Times New Roman" w:hAnsi="Arial" w:cs="Arial"/>
                <w:color w:val="000000"/>
                <w:sz w:val="20"/>
                <w:szCs w:val="20"/>
                <w:lang w:eastAsia="es-CR"/>
              </w:rPr>
              <w:t xml:space="preserve">Oficio 11799-2020 del Consejo Superior, mediante el cual comunican acuerdo de sesión 112-2020 del 20 de noviembre del 2020, artículo XXVI, donde se conoció el oficio 45-CAN-2020 del Consejo de Administración de Guanacaste, Nicoya, y se dispuso enviar al Centro de Apoyo, Coordinación y Mejoramiento de la Función Jurisdiccional, para que analice el tema administrativo. </w:t>
            </w:r>
          </w:p>
        </w:tc>
      </w:tr>
    </w:tbl>
    <w:p w14:paraId="77537BFE" w14:textId="77777777" w:rsidR="00356493" w:rsidRPr="00BB53C0" w:rsidRDefault="00356493" w:rsidP="00356493">
      <w:pPr>
        <w:rPr>
          <w:rFonts w:ascii="Arial" w:hAnsi="Arial" w:cs="Arial"/>
          <w:lang w:val="es-ES"/>
        </w:rPr>
      </w:pPr>
    </w:p>
    <w:p w14:paraId="58C8A480" w14:textId="77777777" w:rsidR="00356493" w:rsidRPr="00BB53C0" w:rsidRDefault="00356493" w:rsidP="00356493">
      <w:pPr>
        <w:pStyle w:val="Ttulo1"/>
        <w:numPr>
          <w:ilvl w:val="0"/>
          <w:numId w:val="0"/>
        </w:numPr>
        <w:rPr>
          <w:lang w:val="es-ES"/>
        </w:rPr>
      </w:pPr>
      <w:r>
        <w:rPr>
          <w:lang w:val="es-ES"/>
        </w:rPr>
        <w:t>C</w:t>
      </w:r>
      <w:r w:rsidRPr="00BB53C0">
        <w:rPr>
          <w:lang w:val="es-ES"/>
        </w:rPr>
        <w:t>onsultas atendidas por la Comisión de la Jurisdicción Penal.</w:t>
      </w:r>
    </w:p>
    <w:p w14:paraId="245BABA0" w14:textId="77777777" w:rsidR="00356493" w:rsidRPr="00BB53C0" w:rsidRDefault="00356493" w:rsidP="00356493">
      <w:pPr>
        <w:rPr>
          <w:rFonts w:ascii="Arial" w:hAnsi="Arial" w:cs="Arial"/>
          <w:lang w:val="es-ES"/>
        </w:rPr>
      </w:pPr>
    </w:p>
    <w:p w14:paraId="6BD3ECE4" w14:textId="77777777" w:rsidR="00356493" w:rsidRPr="00BB53C0" w:rsidRDefault="00356493" w:rsidP="00356493">
      <w:pPr>
        <w:rPr>
          <w:rFonts w:ascii="Arial" w:hAnsi="Arial" w:cs="Arial"/>
          <w:lang w:val="es-ES"/>
        </w:rPr>
      </w:pPr>
      <w:r w:rsidRPr="00BB53C0">
        <w:rPr>
          <w:rFonts w:ascii="Arial" w:hAnsi="Arial" w:cs="Arial"/>
          <w:lang w:val="es-ES"/>
        </w:rPr>
        <w:t>Durante el año 2020, la comisión ha atendido un total de 29</w:t>
      </w:r>
      <w:r>
        <w:rPr>
          <w:rFonts w:ascii="Arial" w:hAnsi="Arial" w:cs="Arial"/>
          <w:lang w:val="es-ES"/>
        </w:rPr>
        <w:t>6</w:t>
      </w:r>
      <w:r w:rsidRPr="00BB53C0">
        <w:rPr>
          <w:rFonts w:ascii="Arial" w:hAnsi="Arial" w:cs="Arial"/>
          <w:lang w:val="es-ES"/>
        </w:rPr>
        <w:t xml:space="preserve"> consultas las cuales se detallan a continuación:</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8175"/>
      </w:tblGrid>
      <w:tr w:rsidR="00356493" w:rsidRPr="00266BAD" w14:paraId="46E1505A" w14:textId="77777777" w:rsidTr="00356493">
        <w:trPr>
          <w:trHeight w:val="780"/>
        </w:trPr>
        <w:tc>
          <w:tcPr>
            <w:tcW w:w="1456" w:type="dxa"/>
            <w:shd w:val="clear" w:color="auto" w:fill="0070C0"/>
            <w:noWrap/>
            <w:vAlign w:val="bottom"/>
            <w:hideMark/>
          </w:tcPr>
          <w:p w14:paraId="3C33E9E1" w14:textId="77777777" w:rsidR="00356493" w:rsidRPr="00266BAD" w:rsidRDefault="00356493" w:rsidP="00356493">
            <w:pPr>
              <w:spacing w:after="0" w:line="240" w:lineRule="auto"/>
              <w:rPr>
                <w:rFonts w:eastAsia="Times New Roman" w:cs="Calibri"/>
                <w:color w:val="000000"/>
                <w:lang w:eastAsia="es-CR"/>
              </w:rPr>
            </w:pPr>
            <w:r w:rsidRPr="00266BAD">
              <w:rPr>
                <w:rFonts w:eastAsia="Times New Roman" w:cs="Calibri"/>
                <w:noProof/>
                <w:color w:val="000000"/>
                <w:lang w:eastAsia="es-CR"/>
              </w:rPr>
              <mc:AlternateContent>
                <mc:Choice Requires="wps">
                  <w:drawing>
                    <wp:anchor distT="0" distB="0" distL="114300" distR="114300" simplePos="0" relativeHeight="251697664" behindDoc="0" locked="0" layoutInCell="1" allowOverlap="1" wp14:anchorId="2D67031E" wp14:editId="63EF610D">
                      <wp:simplePos x="0" y="0"/>
                      <wp:positionH relativeFrom="column">
                        <wp:posOffset>0</wp:posOffset>
                      </wp:positionH>
                      <wp:positionV relativeFrom="paragraph">
                        <wp:posOffset>0</wp:posOffset>
                      </wp:positionV>
                      <wp:extent cx="9534525" cy="6657975"/>
                      <wp:effectExtent l="0" t="0" r="0" b="0"/>
                      <wp:wrapNone/>
                      <wp:docPr id="26" name="Rectángulo 26" hidden="1">
                        <a:extLst xmlns:a="http://schemas.openxmlformats.org/drawingml/2006/main">
                          <a:ext uri="{FF2B5EF4-FFF2-40B4-BE49-F238E27FC236}">
                            <a16:creationId xmlns:a16="http://schemas.microsoft.com/office/drawing/2014/main" id="{C8145ABE-56AF-4E5E-A81A-282CA1B277BC}"/>
                          </a:ext>
                        </a:extLst>
                      </wp:docPr>
                      <wp:cNvGraphicFramePr/>
                      <a:graphic xmlns:a="http://schemas.openxmlformats.org/drawingml/2006/main">
                        <a:graphicData uri="http://schemas.microsoft.com/office/word/2010/wordprocessingShape">
                          <wps:wsp>
                            <wps:cNvSpPr/>
                            <wps:spPr>
                              <a:xfrm>
                                <a:off x="0" y="0"/>
                                <a:ext cx="9523500" cy="85725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71BCC492" id="Rectángulo 26" o:spid="_x0000_s1026" style="position:absolute;margin-left:0;margin-top:0;width:750.75pt;height:524.25pt;z-index:251697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ub5gEAADwEAAAOAAAAZHJzL2Uyb0RvYy54bWysU0tu2zAQ3RfoHQjuaykK7KaC5SwauJui&#10;DZL2ADQ/EgH+QDKWfZyepRfrcKwoTpNNinLB/3uc92a4vj5YQ/YyJu1dRy8WNSXScS+06zv688f2&#10;wxUlKTMnmPFOdvQoE73evH+3HkMrGz94I2QkQOJSO4aODjmHtqoSH6RlaeGDdHCofLQswzL2lYhs&#10;BHZrqqauV9XoowjRc5kS7N6cDukG+ZWSPH9XKslMTEchtox9xH5X+mqzZm0fWRg0n8Jg/xCFZdrB&#10;ozPVDcuMPET9gspqHn3yKi+4t5VXSnOJGkDNRf2XmvuBBYlawJwUZpvS/6Pl3/a3kWjR0WZFiWMW&#10;cnQHrv3+5foH40nZHbQQsmS3uDWG1ALoPtzGaZVgWqQfVLRlBFHkgA4fZ4flIRMOm5+WzeWyhkRw&#10;OLtafmyWmILqCR1iyl+kt6RMOhohFjSW7b+mDC/C1ccr5bHkjRZbbQwuYr/7bCLZM8j2FlsJGSDP&#10;rhlHRgjlclUj87OzdE5RY3uNwuosi36gNg6G4srJB5zlo5ElIOPupAJ30Q6MkE/8pxKEPwJePBYi&#10;kgGgXFQg6Y3YCVLQEiv/jfgZhO97l2e81c5HtOFMXZnuvDhiHaABUKLoyPSdyh84X6NNT59+8wcA&#10;AP//AwBQSwMEFAAGAAgAAAAhAFa8WEXcAAAABwEAAA8AAABkcnMvZG93bnJldi54bWxMj81qwzAQ&#10;hO+FvoPYQm+NlFI3wbEcQiCF0h+atA+gWBvLxFoZa+O4b1+ll/ayzDLLzLfFcvStGLCPTSAN04kC&#10;gVQF21Ct4etzczcHEdmQNW0g1PCNEZbl9VVhchvOtMVhx7VIIRRzo8Exd7mUsXLoTZyEDil5h9B7&#10;w2nta2l7c07hvpX3Sj1KbxpKDc50uHZYHXcnr+HFy49XfhuPT/zMambl++A2qPXtzbhagGAc+e8Y&#10;LvgJHcrEtA8nslG0GtIj/DsvXqamGYh9UuphnoEsC/mfv/wBAAD//wMAUEsBAi0AFAAGAAgAAAAh&#10;ALaDOJL+AAAA4QEAABMAAAAAAAAAAAAAAAAAAAAAAFtDb250ZW50X1R5cGVzXS54bWxQSwECLQAU&#10;AAYACAAAACEAOP0h/9YAAACUAQAACwAAAAAAAAAAAAAAAAAvAQAAX3JlbHMvLnJlbHNQSwECLQAU&#10;AAYACAAAACEARQMbm+YBAAA8BAAADgAAAAAAAAAAAAAAAAAuAgAAZHJzL2Uyb0RvYy54bWxQSwEC&#10;LQAUAAYACAAAACEAVrxYRdwAAAAHAQAADwAAAAAAAAAAAAAAAABABAAAZHJzL2Rvd25yZXYueG1s&#10;UEsFBgAAAAAEAAQA8wAAAEkFAAAAAA==&#10;" strokeweight=".26mm"/>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698688" behindDoc="0" locked="0" layoutInCell="1" allowOverlap="1" wp14:anchorId="716B10AD" wp14:editId="336BBEB3">
                      <wp:simplePos x="0" y="0"/>
                      <wp:positionH relativeFrom="column">
                        <wp:posOffset>0</wp:posOffset>
                      </wp:positionH>
                      <wp:positionV relativeFrom="paragraph">
                        <wp:posOffset>0</wp:posOffset>
                      </wp:positionV>
                      <wp:extent cx="9525000" cy="857250"/>
                      <wp:effectExtent l="0" t="0" r="0" b="0"/>
                      <wp:wrapNone/>
                      <wp:docPr id="27" name="Forma libre: forma 27">
                        <a:extLst xmlns:a="http://schemas.openxmlformats.org/drawingml/2006/main">
                          <a:ext uri="{FF2B5EF4-FFF2-40B4-BE49-F238E27FC236}">
                            <a16:creationId xmlns:a16="http://schemas.microsoft.com/office/drawing/2014/main" id="{6B933889-024B-4E31-80F4-6E158C3316F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4A3ED3" id="Forma libre: forma 27" o:spid="_x0000_s1026" style="position:absolute;margin-left:0;margin-top:0;width:750pt;height:6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1e3gEAAOUDAAAOAAAAZHJzL2Uyb0RvYy54bWysU1GP0zAMfkfiP0R5Z+0mjTuqdSd0x3g5&#10;YNLBD/CSdI1I48jJ1u3f42bdbgOJB0QfIjuOP/v77C4eDp0Te0PRoq/ldFJKYbxCbf22lj++r97d&#10;SxETeA0Ovanl0UT5sHz7ZtGHysywRacNCQbxsepDLduUQlUUUbWmgzjBYDwHG6QOEru0LTRBz+id&#10;K2Zl+b7okXQgVCZGvn06BeUy4zeNUelb00SThKsl95bySfncDGexXEC1JQitVWMb8A9ddGA9F71A&#10;PUECsSP7B1RnFWHEJk0UdgU2jVUmc2A20/I3Ni8tBJO5sDgxXGSK/w9Wfd2vSVhdy9mdFB46ntFq&#10;UFs4uyFTiSy94CAr1YdYccJLWNPANYZnVD+j8PjYgt+aj0TYtwY09zcd3hc3CYMTOVVs+i+ouQ7s&#10;EmbRDg11AyDLIQ55NsfLbMwhCcWXH+azeVnyCBXH7ud37OUSUJ2z1S6mzwYzEuyfYzrNVp8taM+W&#10;OvizSbwhf92NAGnMK6C6LhHRWb2yzmUpaLt5dCT2wHu2yt/Y3c0z50V/opJ538TiNQQzHcgOGrLO&#10;15UId15nZoPSn0Y7gXUnm987P0o/qH2a2gb1cU3nkfAuZeBx74dlvfZz9uvfufwF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NSinV7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699712" behindDoc="0" locked="0" layoutInCell="1" allowOverlap="1" wp14:anchorId="477FAAA0" wp14:editId="07C18E8D">
                      <wp:simplePos x="0" y="0"/>
                      <wp:positionH relativeFrom="column">
                        <wp:posOffset>0</wp:posOffset>
                      </wp:positionH>
                      <wp:positionV relativeFrom="paragraph">
                        <wp:posOffset>0</wp:posOffset>
                      </wp:positionV>
                      <wp:extent cx="9525000" cy="857250"/>
                      <wp:effectExtent l="0" t="0" r="0" b="0"/>
                      <wp:wrapNone/>
                      <wp:docPr id="28" name="Forma libre: forma 28">
                        <a:extLst xmlns:a="http://schemas.openxmlformats.org/drawingml/2006/main">
                          <a:ext uri="{FF2B5EF4-FFF2-40B4-BE49-F238E27FC236}">
                            <a16:creationId xmlns:a16="http://schemas.microsoft.com/office/drawing/2014/main" id="{56B83CD0-1667-41AC-975F-6AF518D536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173031" id="Forma libre: forma 28" o:spid="_x0000_s1026" style="position:absolute;margin-left:0;margin-top:0;width:750pt;height:6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OZ3gEAAOUDAAAOAAAAZHJzL2Uyb0RvYy54bWysU1GP0zAMfkfiP0R9Z+0mDY5q3QndMV4O&#10;mHTwA7wkXSPSOHKydfv3OFk3NpDu4UQfIjuOP/v77C7uD70Ve03BoGuK6aQqhHYSlXHbpvj5Y/Xu&#10;rhAhglNg0emmOOpQ3C/fvlkMvtYz7NAqTYJBXKgH3xRdjL4uyyA73UOYoNeOgy1SD5Fd2paKYGD0&#10;3pazqnpfDkjKE0odAt8+noLFMuO3rZbxe9sGHYVtCu4t5pPyuUlnuVxAvSXwnZFjG/CKLnowjote&#10;oB4hgtiR+QeqN5IwYBsnEvsS29ZInTkwm2n1F5vnDrzOXFic4C8yhf8HK7/t1ySMaooZT8pBzzNa&#10;JbWFNRvStcjSCw6yUoMPNSc8+zUlrsE/ofwVhMOHDtxWfyLCodOguL9pel/eJCQncKrYDF9RcR3Y&#10;RcyiHVrqEyDLIQ55NsfLbPQhCsmXH+ezeVXxCCXH7uYf2MsloD5ny12IXzRmJNg/hXiarTpb0J0t&#10;eXBnk3hDXtwND3HMK6G+LhHQGrUy1mYpaLt5sCT2wHu2yt/Y3c0z68RwopJ538TCNQQzTWSThqzz&#10;dSXCnVOZWVL682hHMPZk83vrRumT2qepbVAd13QeCe9SBh73Pi3rtZ+z//ydy9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J5Mo5n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0736" behindDoc="0" locked="0" layoutInCell="1" allowOverlap="1" wp14:anchorId="27866335" wp14:editId="6998B3A1">
                      <wp:simplePos x="0" y="0"/>
                      <wp:positionH relativeFrom="column">
                        <wp:posOffset>0</wp:posOffset>
                      </wp:positionH>
                      <wp:positionV relativeFrom="paragraph">
                        <wp:posOffset>0</wp:posOffset>
                      </wp:positionV>
                      <wp:extent cx="9525000" cy="857250"/>
                      <wp:effectExtent l="0" t="0" r="0" b="0"/>
                      <wp:wrapNone/>
                      <wp:docPr id="29" name="Forma libre: forma 29">
                        <a:extLst xmlns:a="http://schemas.openxmlformats.org/drawingml/2006/main">
                          <a:ext uri="{FF2B5EF4-FFF2-40B4-BE49-F238E27FC236}">
                            <a16:creationId xmlns:a16="http://schemas.microsoft.com/office/drawing/2014/main" id="{A9140906-6F24-40F9-8126-8271C6DBBCC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98F484" id="Forma libre: forma 29" o:spid="_x0000_s1026" style="position:absolute;margin-left:0;margin-top:0;width:750pt;height:6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se3gEAAOUDAAAOAAAAZHJzL2Uyb0RvYy54bWysU1GP0zAMfkfiP0R9Z+0mDe6qdSd0x3g5&#10;YNLBD/CSdI1I48jJ1u3f42TdbgOJB0QfIjuOP/v77C4eDr0Ve03BoGuK6aQqhHYSlXHbpvjxffXu&#10;rhAhglNg0emmOOpQPCzfvlkMvtYz7NAqTYJBXKgH3xRdjL4uyyA73UOYoNeOgy1SD5Fd2paKYGD0&#10;3pazqnpfDkjKE0odAt8+nYLFMuO3rZbxW9sGHYVtCu4t5pPyuUlnuVxAvSXwnZFjG/APXfRgHBe9&#10;QD1BBLEj8wdUbyRhwDZOJPYltq2ROnNgNtPqNzYvHXidubA4wV9kCv8PVn7dr0kY1RSz+0I46HlG&#10;q6S2sGZDuhZZesFBVmrwoeaEF7+mxDX4Z5Q/g3D42IHb6o9EOHQaFPc3Te/Lm4TkBE4Vm+ELKq4D&#10;u4hZtENLfQJkOcQhz+Z4mY0+RCH58n4+m1cVj1By7G7+gb1cAupzttyF+FljRoL9c4in2aqzBd3Z&#10;kgd3Nok35K+74SGOeSXU1yUCWqNWxtosBW03j5bEHnjPVvkbu7t5Zp0YTlQy75tYuIZgpols0pB1&#10;vq5EuHMqM0tKfxrtCMaebH5v3Sh9Uvs0tQ2q45rOI+FdysDj3qdlvfZz9uvfufwF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Gw6Kx7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1760" behindDoc="0" locked="0" layoutInCell="1" allowOverlap="1" wp14:anchorId="22301D5A" wp14:editId="2AE2D4D2">
                      <wp:simplePos x="0" y="0"/>
                      <wp:positionH relativeFrom="column">
                        <wp:posOffset>0</wp:posOffset>
                      </wp:positionH>
                      <wp:positionV relativeFrom="paragraph">
                        <wp:posOffset>0</wp:posOffset>
                      </wp:positionV>
                      <wp:extent cx="9525000" cy="857250"/>
                      <wp:effectExtent l="0" t="0" r="0" b="0"/>
                      <wp:wrapNone/>
                      <wp:docPr id="30" name="Forma libre: forma 30">
                        <a:extLst xmlns:a="http://schemas.openxmlformats.org/drawingml/2006/main">
                          <a:ext uri="{FF2B5EF4-FFF2-40B4-BE49-F238E27FC236}">
                            <a16:creationId xmlns:a16="http://schemas.microsoft.com/office/drawing/2014/main" id="{F5F3E9AC-E7C5-4A58-BDE5-7E847E7A56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99C0A0" id="Forma libre: forma 30" o:spid="_x0000_s1026" style="position:absolute;margin-left:0;margin-top:0;width:750pt;height:6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It3gEAAOUDAAAOAAAAZHJzL2Uyb0RvYy54bWysU1GP0zAMfkfiP0R9Z+2GBke17oTuGC8H&#10;TDr4AV6SrhFpHDnZuv17nKzbbSDxgOhDZMfxZ3+f3cX9obdirykYdE0xnVSF0E6iMm7bFD++r97c&#10;FSJEcAosOt0URx2K++XrV4vB13qGHVqlSTCIC/Xgm6KL0ddlGWSnewgT9NpxsEXqIbJL21IRDIze&#10;23JWVe/KAUl5QqlD4NvHU7BYZvy21TJ+a9ugo7BNwb3FfFI+N+kslwuotwS+M3JsA/6hix6M46IX&#10;qEeIIHZk/oDqjSQM2MaJxL7EtjVSZw7MZlr9xua5A68zFxYn+ItM4f/Byq/7NQmjmuIty+Og5xmt&#10;ktrCmg3pWmTpBQdZqcGHmhOe/ZoS1+CfUP4MwuFDB26rPxLh0GlQ3N80vS9vEpITOFVshi+ouA7s&#10;ImbRDi31CZDlEIc8m+NlNvoQheTLD/PZvKq4R8mxu/l79nIJqM/ZchfiZ40ZCfZPIZ5mq84WdGdL&#10;HtzZJN6Qv+6GhzjmlVBflwhojVoZa7MUtN08WBJ74D1b5W/s7uaZdWI4Ucm8b2LhGoKZJrJJQ9b5&#10;uhLhzqnMLCn9abQjGHuy+b11o/RJ7dPUNqiOazqPhHcpA497n5b12s/ZL3/n8hc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M718i3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2784" behindDoc="0" locked="0" layoutInCell="1" allowOverlap="1" wp14:anchorId="5B0B4EEF" wp14:editId="5BE00E13">
                      <wp:simplePos x="0" y="0"/>
                      <wp:positionH relativeFrom="column">
                        <wp:posOffset>0</wp:posOffset>
                      </wp:positionH>
                      <wp:positionV relativeFrom="paragraph">
                        <wp:posOffset>0</wp:posOffset>
                      </wp:positionV>
                      <wp:extent cx="9525000" cy="857250"/>
                      <wp:effectExtent l="0" t="0" r="0" b="0"/>
                      <wp:wrapNone/>
                      <wp:docPr id="31" name="Forma libre: forma 31">
                        <a:extLst xmlns:a="http://schemas.openxmlformats.org/drawingml/2006/main">
                          <a:ext uri="{FF2B5EF4-FFF2-40B4-BE49-F238E27FC236}">
                            <a16:creationId xmlns:a16="http://schemas.microsoft.com/office/drawing/2014/main" id="{8BCDA533-BF2E-4906-AEFB-98A35E83288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39B5CC" id="Forma libre: forma 31" o:spid="_x0000_s1026" style="position:absolute;margin-left:0;margin-top:0;width:750pt;height:6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qq3gEAAOUDAAAOAAAAZHJzL2Uyb0RvYy54bWysU1GP0zAMfkfiP0R9Z+2GBke17oTuGC8H&#10;TDr4AV6SrhFpHDnZuv17nHTbbSDxgOhDZMfxZ3+f3cX9obdirykYdE0xnVSF0E6iMm7bFD++r97c&#10;FSJEcAosOt0URx2K++XrV4vB13qGHVqlSTCIC/Xgm6KL0ddlGWSnewgT9NpxsEXqIbJL21IRDIze&#10;23JWVe/KAUl5QqlD4NvHMVgsM37bahm/tW3QUdim4N5iPimfm3SWywXUWwLfGXlqA/6hix6M46IX&#10;qEeIIHZk/oDqjSQM2MaJxL7EtjVSZw7MZlr9xua5A68zFxYn+ItM4f/Byq/7NQmjmuLttBAOep7R&#10;KqktrNmQrkWWXnCQlRp8qDnh2a8pcQ3+CeXPIBw+dOC2+iMRDp0Gxf3l9+VNQnICp4rN8AUV14Fd&#10;xCzaoaU+AbIc4pBnc7zMRh+ikHz5YT6bVxWPUHLsbv6evdRSCfU5W+5C/KwxI8H+KcRxtupsQXe2&#10;5MGdTeIN+etueIinPC51XSKgNWplrM1S0HbzYEnsgfdslb9TdzfPrBPDSCXzvomFawhmmsiOBG+e&#10;Ee6cysyS0p9OdgRjR5u7tI51Oas9Tm2D6rimBJfueZeycqe9T8t67edXL3/n8hc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DyDeqr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3808" behindDoc="0" locked="0" layoutInCell="1" allowOverlap="1" wp14:anchorId="3D88D448" wp14:editId="45449EC7">
                      <wp:simplePos x="0" y="0"/>
                      <wp:positionH relativeFrom="column">
                        <wp:posOffset>0</wp:posOffset>
                      </wp:positionH>
                      <wp:positionV relativeFrom="paragraph">
                        <wp:posOffset>0</wp:posOffset>
                      </wp:positionV>
                      <wp:extent cx="9525000" cy="857250"/>
                      <wp:effectExtent l="0" t="0" r="0" b="0"/>
                      <wp:wrapNone/>
                      <wp:docPr id="32" name="Forma libre: forma 32">
                        <a:extLst xmlns:a="http://schemas.openxmlformats.org/drawingml/2006/main">
                          <a:ext uri="{FF2B5EF4-FFF2-40B4-BE49-F238E27FC236}">
                            <a16:creationId xmlns:a16="http://schemas.microsoft.com/office/drawing/2014/main" id="{2547A22F-44BF-4474-A413-748FC4F91E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3E8EEE" id="Forma libre: forma 32" o:spid="_x0000_s1026" style="position:absolute;margin-left:0;margin-top:0;width:750pt;height:6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P53gEAAOUDAAAOAAAAZHJzL2Uyb0RvYy54bWysU1GP0zAMfkfiP0R9Z+2GBke17oTuGC8H&#10;TDr4AV6SrhFpHDnZuv17nKzbbSDxgOhDZMfxZ3+f3cX9obdirykYdE0xnVSF0E6iMm7bFD++r97c&#10;FSJEcAosOt0URx2K++XrV4vB13qGHVqlSTCIC/Xgm6KL0ddlGWSnewgT9NpxsEXqIbJL21IRDIze&#10;23JWVe/KAUl5QqlD4NvHU7BYZvy21TJ+a9ugo7BNwb3FfFI+N+kslwuotwS+M3JsA/6hix6M46IX&#10;qEeIIHZk/oDqjSQM2MaJxL7EtjVSZw7MZlr9xua5A68zFxYn+ItM4f/Byq/7NQmjmuLtrBAOep7R&#10;KqktrNmQrkWWXnCQlRp8qDnh2a8pcQ3+CeXPIBw+dOC2+iMRDp0Gxf1N0/vyJiE5gVPFZviCiuvA&#10;LmIW7dBSnwBZDnHIszleZqMPUUi+/DCfzauKRyg5djd/z14uAfU5W+5C/KwxI8H+KcTTbNXZgu5s&#10;yYM7m8Qb8tfd8BDHvBLq6xIBrVErY22WgrabB0tiD7xnq/yN3d08s04MJyqZ900sXEMw00Q2acg6&#10;X1ci3DmVmSWlP412BGNPNr+3bpQ+qX2a2gbVcU3nkfAuZeBx79OyXvs5++XvXP4C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Gsek/n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4832" behindDoc="0" locked="0" layoutInCell="1" allowOverlap="1" wp14:anchorId="748C2336" wp14:editId="3F2FD68A">
                      <wp:simplePos x="0" y="0"/>
                      <wp:positionH relativeFrom="column">
                        <wp:posOffset>0</wp:posOffset>
                      </wp:positionH>
                      <wp:positionV relativeFrom="paragraph">
                        <wp:posOffset>0</wp:posOffset>
                      </wp:positionV>
                      <wp:extent cx="9525000" cy="857250"/>
                      <wp:effectExtent l="0" t="0" r="0" b="0"/>
                      <wp:wrapNone/>
                      <wp:docPr id="33" name="Forma libre: forma 33">
                        <a:extLst xmlns:a="http://schemas.openxmlformats.org/drawingml/2006/main">
                          <a:ext uri="{FF2B5EF4-FFF2-40B4-BE49-F238E27FC236}">
                            <a16:creationId xmlns:a16="http://schemas.microsoft.com/office/drawing/2014/main" id="{489F4B41-EE56-416D-9770-E54A9361080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0CF84F" id="Forma libre: forma 33" o:spid="_x0000_s1026" style="position:absolute;margin-left:0;margin-top:0;width:750pt;height:6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t+3gEAAOUDAAAOAAAAZHJzL2Uyb0RvYy54bWysU1GP0zAMfkfiP0R9Z+12GhzVuhO6Y7wc&#10;MOngB3hJukakceRk6/bvcbJubCDxgOhDZMfxZ3+f3cXDobdirykYdE0xnVSF0E6iMm7bFN+/rd7c&#10;FyJEcAosOt0URx2Kh+XrV4vB13qGHVqlSTCIC/Xgm6KL0ddlGWSnewgT9NpxsEXqIbJL21IRDIze&#10;23JWVW/LAUl5QqlD4NunU7BYZvy21TJ+bdugo7BNwb3FfFI+N+kslwuotwS+M3JsA/6hix6M46IX&#10;qCeIIHZk/oDqjSQM2MaJxL7EtjVSZw7MZlr9xualA68zFxYn+ItM4f/Byi/7NQmjmuLurhAOep7R&#10;KqktrNmQrkWWXnCQlRp8qDnhxa8pcQ3+GeWPIBw+duC2+gMRDp0Gxf1N0/vyJiE5gVPFZviMiuvA&#10;LmIW7dBSnwBZDnHIszleZqMPUUi+fD+fzauKRyg5dj9/x14uAfU5W+5C/KQxI8H+OcTTbNXZgu5s&#10;yYM7m8Qb8tfd8BDHvBLq6xIBrVErY22WgrabR0tiD7xnq/yN3d08s04MJyqZ900sXEMw00Q2acg6&#10;X1ci3DmVmSWlP452BGNPNr+3bpQ+qX2a2gbVcU3nkfAuZeBx79OyXvs5+9ffufwJ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JloG37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5856" behindDoc="0" locked="0" layoutInCell="1" allowOverlap="1" wp14:anchorId="294632CB" wp14:editId="0517543D">
                      <wp:simplePos x="0" y="0"/>
                      <wp:positionH relativeFrom="column">
                        <wp:posOffset>0</wp:posOffset>
                      </wp:positionH>
                      <wp:positionV relativeFrom="paragraph">
                        <wp:posOffset>0</wp:posOffset>
                      </wp:positionV>
                      <wp:extent cx="9525000" cy="857250"/>
                      <wp:effectExtent l="0" t="0" r="0" b="0"/>
                      <wp:wrapNone/>
                      <wp:docPr id="34" name="Forma libre: forma 34">
                        <a:extLst xmlns:a="http://schemas.openxmlformats.org/drawingml/2006/main">
                          <a:ext uri="{FF2B5EF4-FFF2-40B4-BE49-F238E27FC236}">
                            <a16:creationId xmlns:a16="http://schemas.microsoft.com/office/drawing/2014/main" id="{D64C5FFF-76D4-443C-9F8D-4B4BA71864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F98EB9" id="Forma libre: forma 34" o:spid="_x0000_s1026" style="position:absolute;margin-left:0;margin-top:0;width:750pt;height:6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Be3gEAAOUDAAAOAAAAZHJzL2Uyb0RvYy54bWysU9Gu0zAMfUfiH6K+s3aDwaVad4XuZbxc&#10;YNKFD/CSdI1I48jJ1u3vcbJubCDxgOhDZMfxsc+xu7g/9FbsNQWDrimmk6oQ2klUxm2b4vu31au7&#10;QoQIToFFp5viqENxv3z5YjH4Ws+wQ6s0CQZxoR58U3Qx+rosg+x0D2GCXjsOtkg9RHZpWyqCgdF7&#10;W86q6m05IClPKHUIfPt4ChbLjN+2WsavbRt0FLYpuLeYT8rnJp3lcgH1lsB3Ro5twD900YNxXPQC&#10;9QgRxI7MH1C9kYQB2ziR2JfYtkbqzIHZTKvf2Dx34HXmwuIEf5Ep/D9Y+WW/JmFUU7x+UwgHPc9o&#10;ldQW1mxI1yJLLzjISg0+1Jzw7NeUuAb/hPJHEA4fOnBb/YEIh06D4v6m6X15k5CcwKliM3xGxXVg&#10;FzGLdmipT4Ashzjk2Rwvs9GHKCRfvp/P5lXFI5Qcu5u/Yy+XgPqcLXchftKYkWD/FOJptupsQXe2&#10;5MGdTeIN+etueIhjXgn1dYmA1qiVsTZLQdvNgyWxB96zVf7G7m6eWSeGE5XM+yYWriGYaSKbNGSd&#10;rysR7pzKzJLSH0c7grEnm99bN0qf1D5NbYPquKbzSHiXMvC492lZr/2c/evvXP4E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MUkQF7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6880" behindDoc="0" locked="0" layoutInCell="1" allowOverlap="1" wp14:anchorId="6B076E5E" wp14:editId="1721ED8F">
                      <wp:simplePos x="0" y="0"/>
                      <wp:positionH relativeFrom="column">
                        <wp:posOffset>0</wp:posOffset>
                      </wp:positionH>
                      <wp:positionV relativeFrom="paragraph">
                        <wp:posOffset>0</wp:posOffset>
                      </wp:positionV>
                      <wp:extent cx="9525000" cy="857250"/>
                      <wp:effectExtent l="0" t="0" r="0" b="0"/>
                      <wp:wrapNone/>
                      <wp:docPr id="35" name="Forma libre: forma 35">
                        <a:extLst xmlns:a="http://schemas.openxmlformats.org/drawingml/2006/main">
                          <a:ext uri="{FF2B5EF4-FFF2-40B4-BE49-F238E27FC236}">
                            <a16:creationId xmlns:a16="http://schemas.microsoft.com/office/drawing/2014/main" id="{5BA25A4A-6542-4B66-BF26-8DDDA33AC61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D7429B" id="Forma libre: forma 35" o:spid="_x0000_s1026" style="position:absolute;margin-left:0;margin-top:0;width:750pt;height:6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jZ3gEAAOUDAAAOAAAAZHJzL2Uyb0RvYy54bWysU1GP0zAMfkfiP0R9Z+2GBke17oTuGC8H&#10;TDr4AV6SrhFpHDnZuv17nKzbbSDxgOhDZMfxZ3+f3cX9obdirykYdE0xnVSF0E6iMm7bFD++r97c&#10;FSJEcAosOt0URx2K++XrV4vB13qGHVqlSTCIC/Xgm6KL0ddlGWSnewgT9NpxsEXqIbJL21IRDIze&#10;23JWVe/KAUl5QqlD4NvHU7BYZvy21TJ+a9ugo7BNwb3FfFI+N+kslwuotwS+M3JsA/6hix6M46IX&#10;qEeIIHZk/oDqjSQM2MaJxL7EtjVSZw7MZlr9xua5A68zFxYn+ItM4f/Byq/7NQmjmuLtvBAOep7R&#10;KqktrNmQrkWWXnCQlRp8qDnh2a8pcQ3+CeXPIBw+dOC2+iMRDp0Gxf1N0/vyJiE5gVPFZviCiuvA&#10;LmIW7dBSnwBZDnHIszleZqMPUUi+/DCfzauKRyg5djd/z14uAfU5W+5C/KwxI8H+KcTTbNXZgu5s&#10;yYM7m8Qb8tfd8BDHvBLq6xIBrVErY22WgrabB0tiD7xnq/yN3d08s04MJyqZ900sXEMw00Q2acg6&#10;X1ci3DmVmSWlP412BGNPNr+3bpQ+qX2a2gbVcU3nkfAuZeBx79OyXvs5++XvXP4C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DdSyNn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7904" behindDoc="0" locked="0" layoutInCell="1" allowOverlap="1" wp14:anchorId="0BA33F86" wp14:editId="10C8B07B">
                      <wp:simplePos x="0" y="0"/>
                      <wp:positionH relativeFrom="column">
                        <wp:posOffset>0</wp:posOffset>
                      </wp:positionH>
                      <wp:positionV relativeFrom="paragraph">
                        <wp:posOffset>0</wp:posOffset>
                      </wp:positionV>
                      <wp:extent cx="9525000" cy="857250"/>
                      <wp:effectExtent l="0" t="0" r="0" b="0"/>
                      <wp:wrapNone/>
                      <wp:docPr id="36" name="Forma libre: forma 36">
                        <a:extLst xmlns:a="http://schemas.openxmlformats.org/drawingml/2006/main">
                          <a:ext uri="{FF2B5EF4-FFF2-40B4-BE49-F238E27FC236}">
                            <a16:creationId xmlns:a16="http://schemas.microsoft.com/office/drawing/2014/main" id="{861B18C9-D986-4BEE-86B5-2E17D674D1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269483" id="Forma libre: forma 36" o:spid="_x0000_s1026" style="position:absolute;margin-left:0;margin-top:0;width:750pt;height:6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GK3gEAAOUDAAAOAAAAZHJzL2Uyb0RvYy54bWysU1GP0zAMfkfiP0R9Z+2GdhzVuhO6Y7wc&#10;MOngB3hJukakceRk6/bvcbJubCDxgOhDZMfxZ3+f3cXDobdirykYdE0xnVSF0E6iMm7bFN+/rd7c&#10;FyJEcAosOt0URx2Kh+XrV4vB13qGHVqlSTCIC/Xgm6KL0ddlGWSnewgT9NpxsEXqIbJL21IRDIze&#10;23JWVXflgKQ8odQh8O3TKVgsM37bahm/tm3QUdim4N5iPimfm3SWywXUWwLfGTm2Af/QRQ/GcdEL&#10;1BNEEDsyf0D1RhIGbONEYl9i2xqpMwdmM61+Y/PSgdeZC4sT/EWm8P9g5Zf9moRRTfH2rhAOep7R&#10;KqktrNmQrkWWXnCQlRp8qDnhxa8pcQ3+GeWPIBw+duC2+gMRDp0Gxf1N0/vyJiE5gVPFZviMiuvA&#10;LmIW7dBSnwBZDnHIszleZqMPUUi+fD+fzauKRyg5dj9/x14uAfU5W+5C/KQxI8H+OcTTbNXZgu5s&#10;yYM7m8Qb8tfd8BDHvBLq6xIBrVErY22WgrabR0tiD7xnq/yN3d08s04MJyqZ900sXEMw00Q2acg6&#10;X1ci3DmVmSWlP452BGNPNr+3bpQ+qX2a2gbVcU3nkfAuZeBx79OyXvs5+9ffufwJ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GDPIYr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8928" behindDoc="0" locked="0" layoutInCell="1" allowOverlap="1" wp14:anchorId="7E270604" wp14:editId="3A1ED585">
                      <wp:simplePos x="0" y="0"/>
                      <wp:positionH relativeFrom="column">
                        <wp:posOffset>0</wp:posOffset>
                      </wp:positionH>
                      <wp:positionV relativeFrom="paragraph">
                        <wp:posOffset>0</wp:posOffset>
                      </wp:positionV>
                      <wp:extent cx="9525000" cy="857250"/>
                      <wp:effectExtent l="0" t="0" r="0" b="0"/>
                      <wp:wrapNone/>
                      <wp:docPr id="37" name="Forma libre: forma 37">
                        <a:extLst xmlns:a="http://schemas.openxmlformats.org/drawingml/2006/main">
                          <a:ext uri="{FF2B5EF4-FFF2-40B4-BE49-F238E27FC236}">
                            <a16:creationId xmlns:a16="http://schemas.microsoft.com/office/drawing/2014/main" id="{374004F8-7EB5-44E3-91A7-0E1F08177F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DAC55D" id="Forma libre: forma 37" o:spid="_x0000_s1026" style="position:absolute;margin-left:0;margin-top:0;width:750pt;height:6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kN3gEAAOUDAAAOAAAAZHJzL2Uyb0RvYy54bWysU1GP0zAMfkfiP0R9Z+2Gxh3VuhO6Y7wc&#10;MOngB3hJukakceRk6/bvcbJubCDxgOhDZMfxZ3+f3cXDobdirykYdE0xnVSF0E6iMm7bFN+/rd7c&#10;FyJEcAosOt0URx2Kh+XrV4vB13qGHVqlSTCIC/Xgm6KL0ddlGWSnewgT9NpxsEXqIbJL21IRDIze&#10;23JWVe/KAUl5QqlD4NunU7BYZvy21TJ+bdugo7BNwb3FfFI+N+kslwuotwS+M3JsA/6hix6M46IX&#10;qCeIIHZk/oDqjSQM2MaJxL7EtjVSZw7MZlr9xualA68zFxYn+ItM4f/Byi/7NQmjmuLtXSEc9Dyj&#10;VVJbWLMhXYssveAgKzX4UHPCi19T4hr8M8ofQTh87MBt9QciHDoNivubpvflTUJyAqeKzfAZFdeB&#10;XcQs2qGlPgGyHOKQZ3O8zEYfopB8+X4+m1cVj1By7H5+x14uAfU5W+5C/KQxI8H+OcTTbNXZgu5s&#10;yYM7m8Qb8tfd8BDHvBLq6xIBrVErY22WgrabR0tiD7xnq/yN3d08s04MJyqZ900sXEMw00Q2acg6&#10;X1ci3DmVmSWlP452BGNPNr+3bpQ+qX2a2gbVcU3nkfAuZeBx79OyXvs5+9ffufwJ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JK5qQ3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09952" behindDoc="0" locked="0" layoutInCell="1" allowOverlap="1" wp14:anchorId="4BF211C7" wp14:editId="20A0DD8E">
                      <wp:simplePos x="0" y="0"/>
                      <wp:positionH relativeFrom="column">
                        <wp:posOffset>0</wp:posOffset>
                      </wp:positionH>
                      <wp:positionV relativeFrom="paragraph">
                        <wp:posOffset>0</wp:posOffset>
                      </wp:positionV>
                      <wp:extent cx="9525000" cy="857250"/>
                      <wp:effectExtent l="0" t="0" r="0" b="0"/>
                      <wp:wrapNone/>
                      <wp:docPr id="16" name="Forma libre: forma 16">
                        <a:extLst xmlns:a="http://schemas.openxmlformats.org/drawingml/2006/main">
                          <a:ext uri="{FF2B5EF4-FFF2-40B4-BE49-F238E27FC236}">
                            <a16:creationId xmlns:a16="http://schemas.microsoft.com/office/drawing/2014/main" id="{DFB9A3ED-4534-4723-8212-FE36C6CC64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FF907A" id="Forma libre: forma 16" o:spid="_x0000_s1026" style="position:absolute;margin-left:0;margin-top:0;width:750pt;height:6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s3gEAAOUDAAAOAAAAZHJzL2Uyb0RvYy54bWysU1GP0zAMfkfiP0R9Z+0m7TiqbSd0x3g5&#10;YNLBD/CSdI1I48jJ1u3f42TtbgOJB0QfIjuOP/v77C4ejp0VB03BoFsW00lVCO0kKuN2y+LH9/W7&#10;+0KECE6BRaeXxUmH4mH19s2i97WeYYtWaRIM4kLd+2XRxujrsgyy1R2ECXrtONggdRDZpV2pCHpG&#10;72w5q6q7skdSnlDqEPj26RwsVhm/abSM35om6CjssuDeYj4pn9t0lqsF1DsC3xo5tAH/0EUHxnHR&#10;C9QTRBB7Mn9AdUYSBmziRGJXYtMYqTMHZjOtfmPz0oLXmQuLE/xFpvD/YOXXw4aEUTy7u0I46HhG&#10;66S2sGZLuhZZesFBVqr3oeaEF7+hxDX4Z5Q/g3D42ILb6Y9E2LcaFPc3Te/Lm4TkBE4V2/4LKq4D&#10;+4hZtGNDXQJkOcQxz+Z0mY0+RiH58sN8Nq8qHqHk2P38PXu5BNRjttyH+FljRoLDc4jn2arRgna0&#10;5NGNJvGG/HU3PMQhr4T6ukRAa9TaWJuloN320ZI4AO/ZOn9DdzfPrBP9mUrmfRML1xDMNJFNGrLO&#10;15UI905lZknpT4Mdwdizze+tG6RPap+ntkV12tA4Et6lDDzsfVrWaz9nv/6dq1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Oz5SSz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0976" behindDoc="0" locked="0" layoutInCell="1" allowOverlap="1" wp14:anchorId="56605764" wp14:editId="49058A1E">
                      <wp:simplePos x="0" y="0"/>
                      <wp:positionH relativeFrom="column">
                        <wp:posOffset>0</wp:posOffset>
                      </wp:positionH>
                      <wp:positionV relativeFrom="paragraph">
                        <wp:posOffset>0</wp:posOffset>
                      </wp:positionV>
                      <wp:extent cx="9525000" cy="857250"/>
                      <wp:effectExtent l="0" t="0" r="0" b="0"/>
                      <wp:wrapNone/>
                      <wp:docPr id="39" name="Forma libre: forma 39">
                        <a:extLst xmlns:a="http://schemas.openxmlformats.org/drawingml/2006/main">
                          <a:ext uri="{FF2B5EF4-FFF2-40B4-BE49-F238E27FC236}">
                            <a16:creationId xmlns:a16="http://schemas.microsoft.com/office/drawing/2014/main" id="{A0D5C6B2-F589-47D4-BFE5-71997B65BC1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CFFB28" id="Forma libre: forma 39" o:spid="_x0000_s1026" style="position:absolute;margin-left:0;margin-top:0;width:750pt;height:6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9N3gEAAOUDAAAOAAAAZHJzL2Uyb0RvYy54bWysU1GP0zAMfkfiP0R9Z+2GBnfVuhO6Y7wc&#10;MOngB3hJukakceRk6/bvcbJubCDxgOhDZMfxZ3+f3cXDobdirykYdE0xnVSF0E6iMm7bFN+/rd7c&#10;FSJEcAosOt0URx2Kh+XrV4vB13qGHVqlSTCIC/Xgm6KL0ddlGWSnewgT9NpxsEXqIbJL21IRDIze&#10;23JWVe/KAUl5QqlD4NunU7BYZvy21TJ+bdugo7BNwb3FfFI+N+kslwuotwS+M3JsA/6hix6M46IX&#10;qCeIIHZk/oDqjSQM2MaJxL7EtjVSZw7MZlr9xualA68zFxYn+ItM4f/Byi/7NQmjmuLtfSEc9Dyj&#10;VVJbWLMhXYssveAgKzX4UHPCi19T4hr8M8ofQTh87MBt9QciHDoNivubpvflTUJyAqeKzfAZFdeB&#10;XcQs2qGlPgGyHOKQZ3O8zEYfopB8eT+fzauKRyg5djd/z14uAfU5W+5C/KQxI8H+OcTTbNXZgu5s&#10;yYM7m8Qb8tfd8BDHvBLq6xIBrVErY22WgrabR0tiD7xnq/yN3d08s04MJyqZ900sXEMw00Q2acg6&#10;X1ci3DmVmSWlP452BGNPNr+3bpQ+qX2a2gbVcU3nkfAuZeBx79OyXvs5+9ffufwJ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CohH03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2000" behindDoc="0" locked="0" layoutInCell="1" allowOverlap="1" wp14:anchorId="74908539" wp14:editId="6753E439">
                      <wp:simplePos x="0" y="0"/>
                      <wp:positionH relativeFrom="column">
                        <wp:posOffset>0</wp:posOffset>
                      </wp:positionH>
                      <wp:positionV relativeFrom="paragraph">
                        <wp:posOffset>0</wp:posOffset>
                      </wp:positionV>
                      <wp:extent cx="9525000" cy="857250"/>
                      <wp:effectExtent l="0" t="0" r="0" b="0"/>
                      <wp:wrapNone/>
                      <wp:docPr id="15" name="Forma libre: forma 15">
                        <a:extLst xmlns:a="http://schemas.openxmlformats.org/drawingml/2006/main">
                          <a:ext uri="{FF2B5EF4-FFF2-40B4-BE49-F238E27FC236}">
                            <a16:creationId xmlns:a16="http://schemas.microsoft.com/office/drawing/2014/main" id="{E5FC9A20-1510-4A37-8385-E25FBCCBA14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FD36EC" id="Forma libre: forma 15" o:spid="_x0000_s1026" style="position:absolute;margin-left:0;margin-top:0;width:750pt;height:6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B/3gEAAOUDAAAOAAAAZHJzL2Uyb0RvYy54bWysU1GP0zAMfkfiP0R9Z+0mDY5q2wndMV4O&#10;mHTwA7wkXSPSOHKydfv3OFk7NpDu4UQfIjuOP/v77C7uj50VB03BoFsW00lVCO0kKuN2y+Lnj/W7&#10;u0KECE6BRaeXxUmH4n719s2i97WeYYtWaRIM4kLd+2XRxujrsgyy1R2ECXrtONggdRDZpV2pCHpG&#10;72w5q6r3ZY+kPKHUIfDt4zlYrDJ+02gZvzdN0FHYZcG9xXxSPrfpLFcLqHcEvjVyaANe0UUHxnHR&#10;C9QjRBB7Mv9AdUYSBmziRGJXYtMYqTMHZjOt/mLz3ILXmQuLE/xFpvD/YOW3w4aEUTy7eSEcdDyj&#10;dVJbWLMlXYssveAgK9X7UHPCs99Q4hr8E8pfQTh8aMHt9Cci7FsNivubpvflTUJyAqeKbf8VFdeB&#10;fcQs2rGhLgGyHOKYZ3O6zEYfo5B8+XE+m1cVj1By7G7+gb1cAuoxW+5D/KIxI8HhKcTzbNVoQTta&#10;8uhGk3hDXtwND3HIK6G+LhHQGrU21mYpaLd9sCQOwHu2zt/Q3c0z60R/ppJ538TCNQQzTWSThqzz&#10;dSXCvVOZWVL682BHMPZs83vrBumT2uepbVGdNjSOhHcpAw97n5b12s/Zf/7O1W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LtkoH/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3024" behindDoc="0" locked="0" layoutInCell="1" allowOverlap="1" wp14:anchorId="18675D1D" wp14:editId="506BE56B">
                      <wp:simplePos x="0" y="0"/>
                      <wp:positionH relativeFrom="column">
                        <wp:posOffset>0</wp:posOffset>
                      </wp:positionH>
                      <wp:positionV relativeFrom="paragraph">
                        <wp:posOffset>0</wp:posOffset>
                      </wp:positionV>
                      <wp:extent cx="9525000" cy="857250"/>
                      <wp:effectExtent l="0" t="0" r="0" b="0"/>
                      <wp:wrapNone/>
                      <wp:docPr id="14" name="Forma libre: forma 14">
                        <a:extLst xmlns:a="http://schemas.openxmlformats.org/drawingml/2006/main">
                          <a:ext uri="{FF2B5EF4-FFF2-40B4-BE49-F238E27FC236}">
                            <a16:creationId xmlns:a16="http://schemas.microsoft.com/office/drawing/2014/main" id="{70280987-18C8-4B8E-9B44-5935F734B43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2CB899" id="Forma libre: forma 14" o:spid="_x0000_s1026" style="position:absolute;margin-left:0;margin-top:0;width:750pt;height:6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j43gEAAOUDAAAOAAAAZHJzL2Uyb0RvYy54bWysU1GP0zAMfkfiP0R9Z+0mBke17YTuGC8H&#10;TDr4AV6SrhFpHDnZuv17nKzdbSDxgOhDZMfxZ3+f3cX9sbPioCkYdMtiOqkKoZ1EZdxuWfz4vn5z&#10;V4gQwSmw6PSyOOlQ3K9ev1r0vtYzbNEqTYJBXKh7vyzaGH1dlkG2uoMwQa8dBxukDiK7tCsVQc/o&#10;nS1nVfWu7JGUJ5Q6BL59PAeLVcZvGi3jt6YJOgq7LLi3mE/K5zad5WoB9Y7At0YObcA/dNGBcVz0&#10;AvUIEcSezB9QnZGEAZs4kdiV2DRG6syB2Uyr39g8t+B15sLiBH+RKfw/WPn1sCFhFM/ubSEcdDyj&#10;dVJbWLMlXYssveAgK9X7UHPCs99Q4hr8E8qfQTh8aMHt9Eci7FsNivubpvflTUJyAqeKbf8FFdeB&#10;fcQs2rGhLgGyHOKYZ3O6zEYfo5B8+WE+m1cVj1By7G7+nr1cAuoxW+5D/KwxI8HhKcTzbNVoQTta&#10;8uhGk3hD/robHuKQV0J9XSKgNWptrM1S0G77YEkcgPdsnb+hu5tn1on+TCXzvomFawhmmsgmDVnn&#10;60qEe6cys6T0p8GOYOzZ5vfWDdIntc9T26I6bWgcCe9SBh72Pi3rtZ+zX/7O1S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EkSKPj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4048" behindDoc="0" locked="0" layoutInCell="1" allowOverlap="1" wp14:anchorId="564D2970" wp14:editId="693B9948">
                      <wp:simplePos x="0" y="0"/>
                      <wp:positionH relativeFrom="column">
                        <wp:posOffset>0</wp:posOffset>
                      </wp:positionH>
                      <wp:positionV relativeFrom="paragraph">
                        <wp:posOffset>0</wp:posOffset>
                      </wp:positionV>
                      <wp:extent cx="9525000" cy="857250"/>
                      <wp:effectExtent l="0" t="0" r="0" b="0"/>
                      <wp:wrapNone/>
                      <wp:docPr id="13" name="Forma libre: forma 13">
                        <a:extLst xmlns:a="http://schemas.openxmlformats.org/drawingml/2006/main">
                          <a:ext uri="{FF2B5EF4-FFF2-40B4-BE49-F238E27FC236}">
                            <a16:creationId xmlns:a16="http://schemas.microsoft.com/office/drawing/2014/main" id="{AD1DDC45-CD06-4A40-87C6-75A7D829DC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16AE6D" id="Forma libre: forma 13" o:spid="_x0000_s1026" style="position:absolute;margin-left:0;margin-top:0;width:750pt;height:6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PY3gEAAOUDAAAOAAAAZHJzL2Uyb0RvYy54bWysU1GP0zAMfkfiP0R9Z+2GBke17YTuGC8H&#10;TDr4AV6SrhFpHDnZuv17nKzdbSDxgOhDZMfxZ3+f3cX9sbPioCkYdMtiOqkKoZ1EZdxuWfz4vn5z&#10;V4gQwSmw6PSyOOlQ3K9ev1r0vtYzbNEqTYJBXKh7vyzaGH1dlkG2uoMwQa8dBxukDiK7tCsVQc/o&#10;nS1nVfWu7JGUJ5Q6BL59PAeLVcZvGi3jt6YJOgq7LLi3mE/K5zad5WoB9Y7At0YObcA/dNGBcVz0&#10;AvUIEcSezB9QnZGEAZs4kdiV2DRG6syB2Uyr39g8t+B15sLiBH+RKfw/WPn1sCFhFM/ubSEcdDyj&#10;dVJbWLMlXYssveAgK9X7UHPCs99Q4hr8E8qfQTh8aMHt9Eci7FsNivubpvflTUJyAqeKbf8FFdeB&#10;fcQs2rGhLgGyHOKYZ3O6zEYfo5B8+WE+m1cVj1By7G7+nr1cAuoxW+5D/KwxI8HhKcTzbNVoQTta&#10;8uhGk3hD/robHuKQV0J9XSKgNWptrM1S0G77YEkcgPdsnb+hu5tn1on+TCXzvomFawhmmsgmDVnn&#10;60qEe6cys6T0p8GOYOzZ5vfWDdIntc9T26I6bWgcCe9SBh72Pi3rtZ+zX/7O1S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BVec9j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5072" behindDoc="0" locked="0" layoutInCell="1" allowOverlap="1" wp14:anchorId="2E745911" wp14:editId="4089A8F5">
                      <wp:simplePos x="0" y="0"/>
                      <wp:positionH relativeFrom="column">
                        <wp:posOffset>0</wp:posOffset>
                      </wp:positionH>
                      <wp:positionV relativeFrom="paragraph">
                        <wp:posOffset>0</wp:posOffset>
                      </wp:positionV>
                      <wp:extent cx="9525000" cy="857250"/>
                      <wp:effectExtent l="0" t="0" r="0" b="0"/>
                      <wp:wrapNone/>
                      <wp:docPr id="12" name="Forma libre: forma 12">
                        <a:extLst xmlns:a="http://schemas.openxmlformats.org/drawingml/2006/main">
                          <a:ext uri="{FF2B5EF4-FFF2-40B4-BE49-F238E27FC236}">
                            <a16:creationId xmlns:a16="http://schemas.microsoft.com/office/drawing/2014/main" id="{DF93648F-2A48-45B8-9962-E2FB1A0255B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855459" id="Forma libre: forma 12" o:spid="_x0000_s1026" style="position:absolute;margin-left:0;margin-top:0;width:750pt;height:6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tf3gEAAOUDAAAOAAAAZHJzL2Uyb0RvYy54bWysU1GP0zAMfkfiP0R9Z+0mDY5q2wndMV4O&#10;mHTwA7wkXSPSOHKydfv3OFk7NpDu4UQfIjuOP/v77C7uj50VB03BoFsW00lVCO0kKuN2y+Lnj/W7&#10;u0KECE6BRaeXxUmH4n719s2i97WeYYtWaRIM4kLd+2XRxujrsgyy1R2ECXrtONggdRDZpV2pCHpG&#10;72w5q6r3ZY+kPKHUIfDt4zlYrDJ+02gZvzdN0FHYZcG9xXxSPrfpLFcLqHcEvjVyaANe0UUHxnHR&#10;C9QjRBB7Mv9AdUYSBmziRGJXYtMYqTMHZjOt/mLz3ILXmQuLE/xFpvD/YOW3w4aEUTy7WSEcdDyj&#10;dVJbWLMlXYssveAgK9X7UHPCs99Q4hr8E8pfQTh8aMHt9Cci7FsNivubpvflTUJyAqeKbf8VFdeB&#10;fcQs2rGhLgGyHOKYZ3O6zEYfo5B8+XE+m1cVj1By7G7+gb1cAuoxW+5D/KIxI8HhKcTzbNVoQTta&#10;8uhGk3hDXtwND3HIK6G+LhHQGrU21mYpaLd9sCQOwHu2zt/Q3c0z60R/ppJ538TCNQQzTWSThqzz&#10;dSXCvVOZWVL682BHMPZs83vrBumT2uepbVGdNjSOhHcpAw97n5b12s/Zf/7O1W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Oco+1/eAQAA5QMAAA4AAAAAAAAAAAAAAAAALgIAAGRycy9lMm9Eb2MueG1sUEsBAi0AFAAGAAgA&#10;AAAhAHx6+trcAAAABgEAAA8AAAAAAAAAAAAAAAAAOAQAAGRycy9kb3ducmV2LnhtbFBLBQYAAAAA&#10;BAAEAPMAAABBBQ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6096" behindDoc="0" locked="0" layoutInCell="1" allowOverlap="1" wp14:anchorId="7C23994A" wp14:editId="7CBCA75C">
                      <wp:simplePos x="0" y="0"/>
                      <wp:positionH relativeFrom="column">
                        <wp:posOffset>0</wp:posOffset>
                      </wp:positionH>
                      <wp:positionV relativeFrom="paragraph">
                        <wp:posOffset>0</wp:posOffset>
                      </wp:positionV>
                      <wp:extent cx="9525000" cy="857250"/>
                      <wp:effectExtent l="0" t="0" r="0" b="0"/>
                      <wp:wrapNone/>
                      <wp:docPr id="11" name="Forma libre: forma 11">
                        <a:extLst xmlns:a="http://schemas.openxmlformats.org/drawingml/2006/main">
                          <a:ext uri="{FF2B5EF4-FFF2-40B4-BE49-F238E27FC236}">
                            <a16:creationId xmlns:a16="http://schemas.microsoft.com/office/drawing/2014/main" id="{63BE48F5-0E3B-4448-B1BA-4471A4FBB8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0BE1CB" id="Forma libre: forma 11" o:spid="_x0000_s1026" style="position:absolute;margin-left:0;margin-top:0;width:750pt;height:6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IM3QEAAOUDAAAOAAAAZHJzL2Uyb0RvYy54bWysU1GP0zAMfkfiP0R9Z+0mDY5q2wndMV4O&#10;mHTwA7wkXSPSOHKydfv3OOk6NpDu4UQfIjuOP/v77C7uj50VB03BoFsW00lVCO0kKuN2y+Lnj/W7&#10;u0KECE6BRaeXxUmH4n719s2i97WeYYtWaRIM4kLd+2XRxujrsgyy1R2ECXrtONggdRDZpV2pCHpG&#10;72w5q6r3ZY+kPKHUIfDt4xAsVhm/abSM35sm6CjssuDeYj4pn9t0lqsF1DsC3xp5bgNe0UUHxnHR&#10;C9QjRBB7Mv9AdUYSBmziRGJXYtMYqTMHZjOt/mLz3ILXmQuLE/xFpvD/YOW3w4aEUTy7aSEcdDyj&#10;dVJbWLMlXYssveAgK9X7UHPCs99Q4hr8E8pfQTh8aMHt9Cci7FsNivvL78ubhOQEThXb/isqrgP7&#10;iFm0Y0NdAmQ5xDHP5nSZjT5GIfny43w2ryoeoeTY3fwDe6mlEuoxW+5D/KIxI8HhKcRhtmq0oB0t&#10;eXSjSbwhL+6Gh3jO41LXJQJao9bG2iwF7bYPlsQBeM/W+Tt3d/PMOtEPVDLvm1i4hmCmiexA8OYZ&#10;4d6pzCwp/flsRzB2sLlL61iXUe1haltUpw0luHTPu5SVO+99WtZrP7/683eufgMAAP//AwBQSwME&#10;FAAGAAgAAAAhAHx6+trcAAAABgEAAA8AAABkcnMvZG93bnJldi54bWxMj0FPwzAMhe9I/IfISNxY&#10;wmBoK00nQEIIcdgog3PWmLZq41RNunb/Ho8LXCw/Pev5e+l6cq04YB9qTxquZwoEUuFtTaWG3cfz&#10;1RJEiIasaT2hhiMGWGfnZ6lJrB/pHQ95LAWHUEiMhirGLpEyFBU6E2a+Q2Lv2/fORJZ9KW1vRg53&#10;rZwrdSedqYk/VKbDpwqLJh+chvB4u2lemvnmuPwcxtdVXm2/3iatLy+mh3sQEaf4dwwnfEaHjJn2&#10;fiAbRKuBi8TfefIWSrHe83azUCCzVP7Hz34AAAD//wMAUEsBAi0AFAAGAAgAAAAhALaDOJL+AAAA&#10;4QEAABMAAAAAAAAAAAAAAAAAAAAAAFtDb250ZW50X1R5cGVzXS54bWxQSwECLQAUAAYACAAAACEA&#10;OP0h/9YAAACUAQAACwAAAAAAAAAAAAAAAAAvAQAAX3JlbHMvLnJlbHNQSwECLQAUAAYACAAAACEA&#10;sLUSDN0BAADlAwAADgAAAAAAAAAAAAAAAAAuAgAAZHJzL2Uyb0RvYy54bWxQSwECLQAUAAYACAAA&#10;ACEAfHr62twAAAAGAQAADwAAAAAAAAAAAAAAAAA3BAAAZHJzL2Rvd25yZXYueG1sUEsFBgAAAAAE&#10;AAQA8wAAAEAFA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7120" behindDoc="0" locked="0" layoutInCell="1" allowOverlap="1" wp14:anchorId="6C6D81CF" wp14:editId="4019D91C">
                      <wp:simplePos x="0" y="0"/>
                      <wp:positionH relativeFrom="column">
                        <wp:posOffset>0</wp:posOffset>
                      </wp:positionH>
                      <wp:positionV relativeFrom="paragraph">
                        <wp:posOffset>0</wp:posOffset>
                      </wp:positionV>
                      <wp:extent cx="9525000" cy="857250"/>
                      <wp:effectExtent l="0" t="0" r="0" b="0"/>
                      <wp:wrapNone/>
                      <wp:docPr id="9" name="Forma libre: forma 9">
                        <a:extLst xmlns:a="http://schemas.openxmlformats.org/drawingml/2006/main">
                          <a:ext uri="{FF2B5EF4-FFF2-40B4-BE49-F238E27FC236}">
                            <a16:creationId xmlns:a16="http://schemas.microsoft.com/office/drawing/2014/main" id="{2E1D263B-AACF-4755-84B0-94CAD82EAAB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BCE3B1" id="Forma libre: forma 9" o:spid="_x0000_s1026" style="position:absolute;margin-left:0;margin-top:0;width:750pt;height:6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ST3QEAAOMDAAAOAAAAZHJzL2Uyb0RvYy54bWysU1GP0zAMfkfiP0R9Z+0mDW7VuhO6Y7wc&#10;cNLBD/CSdI1I48jJ1u3f42TdbgOJB0QfIjuOP/v77C7vD70Ve03BoGuK6aQqhHYSlXHbpvjxff3u&#10;rhAhglNg0emmOOpQ3K/evlkOvtYz7NAqTYJBXKgH3xRdjL4uyyA73UOYoNeOgy1SD5Fd2paKYGD0&#10;3pazqnpfDkjKE0odAt8+noLFKuO3rZbxW9sGHYVtCu4t5pPyuUlnuVpCvSXwnZFjG/APXfRgHBe9&#10;QD1CBLEj8wdUbyRhwDZOJPYltq2ROnNgNtPqNzYvHXidubA4wV9kCv8PVn7dP5MwqikWhXDQ84jW&#10;SWxhzYZ0LbLyYpF0Gnyo+fmLf6bENPgnlD+DcPjQgdvqj0Q4dBoUdzdN78ubhOQEThWb4QsqLgO7&#10;iFmyQ0t9AmQxxCFP5niZjD5EIflyMZ/Nq4oHKDl2N//AXi4B9Tlb7kL8rDEjwf4pxNNk1dmC7mzJ&#10;gzubxPvx183wEMe8EurrEgGtUWtjbZaCtpsHS2IPvGXr/I3d3TyzTgwnKpn3TSxcQzDTRDZpyDpf&#10;VyLcOZWZJaU/jXYEY082v7dulD6pfZraBtXxmc4j4U3KwOPWp1W99nP267+5+gUAAP//AwBQSwME&#10;FAAGAAgAAAAhAHx6+trcAAAABgEAAA8AAABkcnMvZG93bnJldi54bWxMj0FPwzAMhe9I/IfISNxY&#10;wmBoK00nQEIIcdgog3PWmLZq41RNunb/Ho8LXCw/Pev5e+l6cq04YB9qTxquZwoEUuFtTaWG3cfz&#10;1RJEiIasaT2hhiMGWGfnZ6lJrB/pHQ95LAWHUEiMhirGLpEyFBU6E2a+Q2Lv2/fORJZ9KW1vRg53&#10;rZwrdSedqYk/VKbDpwqLJh+chvB4u2lemvnmuPwcxtdVXm2/3iatLy+mh3sQEaf4dwwnfEaHjJn2&#10;fiAbRKuBi8TfefIWSrHe83azUCCzVP7Hz34AAAD//wMAUEsBAi0AFAAGAAgAAAAhALaDOJL+AAAA&#10;4QEAABMAAAAAAAAAAAAAAAAAAAAAAFtDb250ZW50X1R5cGVzXS54bWxQSwECLQAUAAYACAAAACEA&#10;OP0h/9YAAACUAQAACwAAAAAAAAAAAAAAAAAvAQAAX3JlbHMvLnJlbHNQSwECLQAUAAYACAAAACEA&#10;o83Ek90BAADjAwAADgAAAAAAAAAAAAAAAAAuAgAAZHJzL2Uyb0RvYy54bWxQSwECLQAUAAYACAAA&#10;ACEAfHr62twAAAAGAQAADwAAAAAAAAAAAAAAAAA3BAAAZHJzL2Rvd25yZXYueG1sUEsFBgAAAAAE&#10;AAQA8wAAAEAFA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8144" behindDoc="0" locked="0" layoutInCell="1" allowOverlap="1" wp14:anchorId="3AAAEB34" wp14:editId="4A0DF02C">
                      <wp:simplePos x="0" y="0"/>
                      <wp:positionH relativeFrom="column">
                        <wp:posOffset>0</wp:posOffset>
                      </wp:positionH>
                      <wp:positionV relativeFrom="paragraph">
                        <wp:posOffset>0</wp:posOffset>
                      </wp:positionV>
                      <wp:extent cx="9525000" cy="857250"/>
                      <wp:effectExtent l="0" t="0" r="0" b="0"/>
                      <wp:wrapNone/>
                      <wp:docPr id="8" name="Forma libre: forma 8">
                        <a:extLst xmlns:a="http://schemas.openxmlformats.org/drawingml/2006/main">
                          <a:ext uri="{FF2B5EF4-FFF2-40B4-BE49-F238E27FC236}">
                            <a16:creationId xmlns:a16="http://schemas.microsoft.com/office/drawing/2014/main" id="{283A0111-CE2B-4B90-AAB1-614EBEC72AF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74BBFF" id="Forma libre: forma 8" o:spid="_x0000_s1026" style="position:absolute;margin-left:0;margin-top:0;width:750pt;height:6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GP3AEAAOMDAAAOAAAAZHJzL2Uyb0RvYy54bWysU9Gu0zAMfUfiH6K+s3aTBqNad4XuZbxc&#10;YNKFD/CSdI1I48jJ1u3vcbJubCDxgOhDZMfxsc+xu3w49lYcNAWDrimmk6oQ2klUxu2a4vu39ZtF&#10;IUIEp8Ci001x0qF4WL1+tRx8rWfYoVWaBIO4UA++KboYfV2WQXa6hzBBrx0HW6QeIru0KxXBwOi9&#10;LWdV9bYckJQnlDoEvn06B4tVxm9bLePXtg06CtsU3FvMJ+Vzm85ytYR6R+A7I8c24B+66ME4LnqF&#10;eoIIYk/mD6jeSMKAbZxI7EtsWyN15sBsptVvbF468DpzYXGCv8oU/h+s/HLYkDCqKXhQDnoe0TqJ&#10;LazZkq5FVl4skk6DDzU/f/EbSkyDf0b5IwiHjx24nf5AhEOnQXF30/S+vEtITuBUsR0+o+IysI+Y&#10;JTu21CdAFkMc82RO18noYxSSL9/PZ/Oq4gFKji3m79jLJaC+ZMt9iJ80ZiQ4PId4nqy6WNBdLHl0&#10;F5N4P/66GR7imFdCfVsioDVqbazNUtBu+2hJHIC3bJ2/sbu7Z9aJ4Uwl876LhVsIZprIJg1Z59tK&#10;hHunMrOk9MfRjmDs2eb31o3SJ7XPU9uiOm3oMhLepAw8bn1a1Vs/Z//6N1c/AQAA//8DAFBLAwQU&#10;AAYACAAAACEAfHr62twAAAAGAQAADwAAAGRycy9kb3ducmV2LnhtbEyPQU/DMAyF70j8h8hI3FjC&#10;YGgrTSdAQghx2CiDc9aYtmrjVE26dv8ejwtcLD896/l76XpyrThgH2pPGq5nCgRS4W1NpYbdx/PV&#10;EkSIhqxpPaGGIwZYZ+dnqUmsH+kdD3ksBYdQSIyGKsYukTIUFToTZr5DYu/b985Eln0pbW9GDnet&#10;nCt1J52piT9UpsOnCosmH5yG8Hi7aV6a+ea4/BzG11Vebb/eJq0vL6aHexARp/h3DCd8RoeMmfZ+&#10;IBtEq4GLxN958hZKsd7zdrNQILNU/sfPfgAAAP//AwBQSwECLQAUAAYACAAAACEAtoM4kv4AAADh&#10;AQAAEwAAAAAAAAAAAAAAAAAAAAAAW0NvbnRlbnRfVHlwZXNdLnhtbFBLAQItABQABgAIAAAAIQA4&#10;/SH/1gAAAJQBAAALAAAAAAAAAAAAAAAAAC8BAABfcmVscy8ucmVsc1BLAQItABQABgAIAAAAIQDo&#10;vHGP3AEAAOMDAAAOAAAAAAAAAAAAAAAAAC4CAABkcnMvZTJvRG9jLnhtbFBLAQItABQABgAIAAAA&#10;IQB8evra3AAAAAYBAAAPAAAAAAAAAAAAAAAAADYEAABkcnMvZG93bnJldi54bWxQSwUGAAAAAAQA&#10;BADzAAAAPwU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19168" behindDoc="0" locked="0" layoutInCell="1" allowOverlap="1" wp14:anchorId="13C3B05D" wp14:editId="5551943C">
                      <wp:simplePos x="0" y="0"/>
                      <wp:positionH relativeFrom="column">
                        <wp:posOffset>0</wp:posOffset>
                      </wp:positionH>
                      <wp:positionV relativeFrom="paragraph">
                        <wp:posOffset>0</wp:posOffset>
                      </wp:positionV>
                      <wp:extent cx="9525000" cy="857250"/>
                      <wp:effectExtent l="0" t="0" r="0" b="0"/>
                      <wp:wrapNone/>
                      <wp:docPr id="7" name="Forma libre: forma 7">
                        <a:extLst xmlns:a="http://schemas.openxmlformats.org/drawingml/2006/main">
                          <a:ext uri="{FF2B5EF4-FFF2-40B4-BE49-F238E27FC236}">
                            <a16:creationId xmlns:a16="http://schemas.microsoft.com/office/drawing/2014/main" id="{40062F8A-930A-410E-ADA4-E732603028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2A7636" id="Forma libre: forma 7" o:spid="_x0000_s1026" style="position:absolute;margin-left:0;margin-top:0;width:750pt;height:6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A93QEAAOMDAAAOAAAAZHJzL2Uyb0RvYy54bWysU1GP0zAMfkfiP0R9Z+0mjR3VuhO6Y7wc&#10;cNLBD/CSdI1I48jJ1u3f42TdbgOJB0QfIjuOP/v77C7vD70Ve03BoGuK6aQqhHYSlXHbpvjxff3u&#10;rhAhglNg0emmOOpQ3K/evlkOvtYz7NAqTYJBXKgH3xRdjL4uyyA73UOYoNeOgy1SD5Fd2paKYGD0&#10;3pazqnpfDkjKE0odAt8+noLFKuO3rZbxW9sGHYVtCu4t5pPyuUlnuVpCvSXwnZFjG/APXfRgHBe9&#10;QD1CBLEj8wdUbyRhwDZOJPYltq2ROnNgNtPqNzYvHXidubA4wV9kCv8PVn7dP5MwqikWhXDQ84jW&#10;SWxhzYZ0LbLyYpF0Gnyo+fmLf6bENPgnlD+DcPjQgdvqj0Q4dBoUdzdN78ubhOQEThWb4QsqLgO7&#10;iFmyQ0t9AmQxxCFP5niZjD5EIfnyw3w2ryoeoOTY3XzBXi4B9Tlb7kL8rDEjwf4pxNNk1dmC7mzJ&#10;gzubxPvx183wEMe8EurrEgGtUWtjbZaCtpsHS2IPvGXr/I3d3TyzTgwnKpn3TSxcQzDTRDZpyDpf&#10;VyLcOZWZJaU/jXYEY082v7dulD6pfZraBtXxmc4j4U3KwOPWp1W99nP267+5+gUAAP//AwBQSwME&#10;FAAGAAgAAAAhAHx6+trcAAAABgEAAA8AAABkcnMvZG93bnJldi54bWxMj0FPwzAMhe9I/IfISNxY&#10;wmBoK00nQEIIcdgog3PWmLZq41RNunb/Ho8LXCw/Pev5e+l6cq04YB9qTxquZwoEUuFtTaWG3cfz&#10;1RJEiIasaT2hhiMGWGfnZ6lJrB/pHQ95LAWHUEiMhirGLpEyFBU6E2a+Q2Lv2/fORJZ9KW1vRg53&#10;rZwrdSedqYk/VKbDpwqLJh+chvB4u2lemvnmuPwcxtdVXm2/3iatLy+mh3sQEaf4dwwnfEaHjJn2&#10;fiAbRKuBi8TfefIWSrHe83azUCCzVP7Hz34AAAD//wMAUEsBAi0AFAAGAAgAAAAhALaDOJL+AAAA&#10;4QEAABMAAAAAAAAAAAAAAAAAAAAAAFtDb250ZW50X1R5cGVzXS54bWxQSwECLQAUAAYACAAAACEA&#10;OP0h/9YAAACUAQAACwAAAAAAAAAAAAAAAAAvAQAAX3JlbHMvLnJlbHNQSwECLQAUAAYACAAAACEA&#10;QWDQPd0BAADjAwAADgAAAAAAAAAAAAAAAAAuAgAAZHJzL2Uyb0RvYy54bWxQSwECLQAUAAYACAAA&#10;ACEAfHr62twAAAAGAQAADwAAAAAAAAAAAAAAAAA3BAAAZHJzL2Rvd25yZXYueG1sUEsFBgAAAAAE&#10;AAQA8wAAAEAFA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20192" behindDoc="0" locked="0" layoutInCell="1" allowOverlap="1" wp14:anchorId="35B0A155" wp14:editId="542A040F">
                      <wp:simplePos x="0" y="0"/>
                      <wp:positionH relativeFrom="column">
                        <wp:posOffset>0</wp:posOffset>
                      </wp:positionH>
                      <wp:positionV relativeFrom="paragraph">
                        <wp:posOffset>0</wp:posOffset>
                      </wp:positionV>
                      <wp:extent cx="9525000" cy="857250"/>
                      <wp:effectExtent l="0" t="0" r="0" b="0"/>
                      <wp:wrapNone/>
                      <wp:docPr id="6" name="Forma libre: forma 6">
                        <a:extLst xmlns:a="http://schemas.openxmlformats.org/drawingml/2006/main">
                          <a:ext uri="{FF2B5EF4-FFF2-40B4-BE49-F238E27FC236}">
                            <a16:creationId xmlns:a16="http://schemas.microsoft.com/office/drawing/2014/main" id="{27F7AEAA-1557-4295-B301-2175932D118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A7FFC4" id="Forma libre: forma 6" o:spid="_x0000_s1026" style="position:absolute;margin-left:0;margin-top:0;width:750pt;height:6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Uh3QEAAOMDAAAOAAAAZHJzL2Uyb0RvYy54bWysU1GP0zAMfkfiP0R9Z+0mbRzVuhO6Y7wc&#10;cNLBD/CSdI1I48jJ1u3f42TdbgOJB0QfIjuOP/v77C7vD70Ve03BoGuK6aQqhHYSlXHbpvjxff3u&#10;rhAhglNg0emmOOpQ3K/evlkOvtYz7NAqTYJBXKgH3xRdjL4uyyA73UOYoNeOgy1SD5Fd2paKYGD0&#10;3pazqlqUA5LyhFKHwLePp2Cxyvhtq2X81rZBR2GbgnuL+aR8btJZrpZQbwl8Z+TYBvxDFz0Yx0Uv&#10;UI8QQezI/AHVG0kYsI0TiX2JbWukzhyYzbT6jc1LB15nLixO8BeZwv+DlV/3zySMaopFIRz0PKJ1&#10;EltYsyFdi6y8WCSdBh9qfv7inykxDf4J5c8gHD504Lb6IxEOnQbF3U3T+/ImITmBU8Vm+IKKy8Au&#10;Ypbs0FKfAFkMcciTOV4mow9RSL78MJ/Nq4oHKDl2N3/PXi4B9Tlb7kL8rDEjwf4pxNNk1dmC7mzJ&#10;gzubxPvx183wEMe8EurrEgGtUWtjbZaCtpsHS2IPvGXr/I3d3TyzTgwnKpn3TSxcQzDTRDZpyDpf&#10;VyLcOZWZJaU/jXYEY082v7dulD6pfZraBtXxmc4j4U3KwOPWp1W99nP267+5+gUAAP//AwBQSwME&#10;FAAGAAgAAAAhAHx6+trcAAAABgEAAA8AAABkcnMvZG93bnJldi54bWxMj0FPwzAMhe9I/IfISNxY&#10;wmBoK00nQEIIcdgog3PWmLZq41RNunb/Ho8LXCw/Pev5e+l6cq04YB9qTxquZwoEUuFtTaWG3cfz&#10;1RJEiIasaT2hhiMGWGfnZ6lJrB/pHQ95LAWHUEiMhirGLpEyFBU6E2a+Q2Lv2/fORJZ9KW1vRg53&#10;rZwrdSedqYk/VKbDpwqLJh+chvB4u2lemvnmuPwcxtdVXm2/3iatLy+mh3sQEaf4dwwnfEaHjJn2&#10;fiAbRKuBi8TfefIWSrHe83azUCCzVP7Hz34AAAD//wMAUEsBAi0AFAAGAAgAAAAhALaDOJL+AAAA&#10;4QEAABMAAAAAAAAAAAAAAAAAAAAAAFtDb250ZW50X1R5cGVzXS54bWxQSwECLQAUAAYACAAAACEA&#10;OP0h/9YAAACUAQAACwAAAAAAAAAAAAAAAAAvAQAAX3JlbHMvLnJlbHNQSwECLQAUAAYACAAAACEA&#10;ChFlId0BAADjAwAADgAAAAAAAAAAAAAAAAAuAgAAZHJzL2Uyb0RvYy54bWxQSwECLQAUAAYACAAA&#10;ACEAfHr62twAAAAGAQAADwAAAAAAAAAAAAAAAAA3BAAAZHJzL2Rvd25yZXYueG1sUEsFBgAAAAAE&#10;AAQA8wAAAEAFAAAAAA==&#10;">
                      <v:path textboxrect="@1,@1,@1,@1"/>
                    </v:shape>
                  </w:pict>
                </mc:Fallback>
              </mc:AlternateContent>
            </w:r>
            <w:r w:rsidRPr="00266BAD">
              <w:rPr>
                <w:rFonts w:eastAsia="Times New Roman" w:cs="Calibri"/>
                <w:noProof/>
                <w:color w:val="000000"/>
                <w:lang w:eastAsia="es-CR"/>
              </w:rPr>
              <mc:AlternateContent>
                <mc:Choice Requires="wps">
                  <w:drawing>
                    <wp:anchor distT="0" distB="0" distL="114300" distR="114300" simplePos="0" relativeHeight="251721216" behindDoc="0" locked="0" layoutInCell="1" allowOverlap="1" wp14:anchorId="6AEA868B" wp14:editId="42386D32">
                      <wp:simplePos x="0" y="0"/>
                      <wp:positionH relativeFrom="column">
                        <wp:posOffset>0</wp:posOffset>
                      </wp:positionH>
                      <wp:positionV relativeFrom="paragraph">
                        <wp:posOffset>0</wp:posOffset>
                      </wp:positionV>
                      <wp:extent cx="9525000" cy="857250"/>
                      <wp:effectExtent l="0" t="0" r="0" b="0"/>
                      <wp:wrapNone/>
                      <wp:docPr id="17" name="Forma lib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0" cy="857250"/>
                              </a:xfrm>
                              <a:custGeom>
                                <a:avLst/>
                                <a:gdLst/>
                                <a:ahLst/>
                                <a:cxnLst/>
                                <a:rect l="0" t="0" r="0" b="0"/>
                                <a:pathLst/>
                              </a:cu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C46499" id="Forma libre: forma 17" o:spid="_x0000_s1026" style="position:absolute;margin-left:0;margin-top:0;width:750pt;height:6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8Gr3gEAAOUDAAAOAAAAZHJzL2Uyb0RvYy54bWysU1GP0zAMfkfiP0R9Z+0mjTuqbSd0x3g5&#10;YNLBD/CSdI1I48jJ1u3f42TtbgOJB0QfIjuOP/v77C4ejp0VB03BoFsW00lVCO0kKuN2y+LH9/W7&#10;+0KECE6BRaeXxUmH4mH19s2i97WeYYtWaRIM4kLd+2XRxujrsgyy1R2ECXrtONggdRDZpV2pCHpG&#10;72w5q6r3ZY+kPKHUIfDt0zlYrDJ+02gZvzVN0FHYZcG9xXxSPrfpLFcLqHcEvjVyaAP+oYsOjOOi&#10;F6gniCD2ZP6A6owkDNjEicSuxKYxUmcOzGZa/cbmpQWvMxcWJ/iLTOH/wcqvhw0Jo3h2d4Vw0PGM&#10;1kltYc2WdC2y9IKDrFTvQ80JL35DiWvwzyh/BuHwsQW30x+JsG81KO5vmt6XNwnJCZwqtv0XVFwH&#10;9hGzaMeGugTIcohjns3pMht9jELy5Yf5bF5VPELJsfv5HXu5BNRjttyH+FljRoLDc4jn2arRgna0&#10;5NGNJvGG/HU3PMQhr4T6ukRAa9TaWJuloN320ZI4AO/ZOn9DdzfPrBP9mUrmfRML1xDMNJFNGrLO&#10;15UI905lZknpT4Mdwdizze+tG6RPap+ntkV12tA4Et6lDDzsfVrWaz9nv/6dq18AAAD//wMAUEsD&#10;BBQABgAIAAAAIQB8evra3AAAAAYBAAAPAAAAZHJzL2Rvd25yZXYueG1sTI9BT8MwDIXvSPyHyEjc&#10;WMJgaCtNJ0BCCHHYKINz1pi2auNUTbp2/x6PC1wsPz3r+XvpenKtOGAfak8armcKBFLhbU2lht3H&#10;89USRIiGrGk9oYYjBlhn52epSawf6R0PeSwFh1BIjIYqxi6RMhQVOhNmvkNi79v3zkSWfSltb0YO&#10;d62cK3UnnamJP1Smw6cKiyYfnIbweLtpXpr55rj8HMbXVV5tv94mrS8vpod7EBGn+HcMJ3xGh4yZ&#10;9n4gG0SrgYvE33nyFkqx3vN2s1Ags1T+x89+AAAA//8DAFBLAQItABQABgAIAAAAIQC2gziS/gAA&#10;AOEBAAATAAAAAAAAAAAAAAAAAAAAAABbQ29udGVudF9UeXBlc10ueG1sUEsBAi0AFAAGAAgAAAAh&#10;ADj9If/WAAAAlAEAAAsAAAAAAAAAAAAAAAAALwEAAF9yZWxzLy5yZWxzUEsBAi0AFAAGAAgAAAAh&#10;AB6PwaveAQAA5QMAAA4AAAAAAAAAAAAAAAAALgIAAGRycy9lMm9Eb2MueG1sUEsBAi0AFAAGAAgA&#10;AAAhAHx6+trcAAAABgEAAA8AAAAAAAAAAAAAAAAAOAQAAGRycy9kb3ducmV2LnhtbFBLBQYAAAAA&#10;BAAEAPMAAABBBQAAAAA=&#10;">
                      <v:path textboxrect="@1,@1,@1,@1"/>
                    </v:shape>
                  </w:pict>
                </mc:Fallback>
              </mc:AlternateContent>
            </w:r>
          </w:p>
          <w:p w14:paraId="2EA02ABD" w14:textId="77777777" w:rsidR="00356493" w:rsidRPr="00266BAD" w:rsidRDefault="00356493" w:rsidP="00356493">
            <w:pPr>
              <w:spacing w:after="0" w:line="240" w:lineRule="auto"/>
              <w:jc w:val="center"/>
              <w:rPr>
                <w:rFonts w:eastAsia="Times New Roman" w:cs="Calibri"/>
                <w:color w:val="000000"/>
                <w:lang w:eastAsia="es-CR"/>
              </w:rPr>
            </w:pPr>
            <w:r w:rsidRPr="00266BAD">
              <w:rPr>
                <w:rFonts w:ascii="Cambria" w:eastAsia="Times New Roman" w:hAnsi="Cambria" w:cs="Calibri"/>
                <w:b/>
                <w:bCs/>
                <w:color w:val="FFFFFF"/>
                <w:sz w:val="28"/>
                <w:szCs w:val="28"/>
                <w:lang w:eastAsia="es-CR"/>
              </w:rPr>
              <w:t>Consulta</w:t>
            </w:r>
          </w:p>
        </w:tc>
        <w:tc>
          <w:tcPr>
            <w:tcW w:w="8175" w:type="dxa"/>
            <w:shd w:val="clear" w:color="auto" w:fill="0070C0"/>
            <w:vAlign w:val="center"/>
            <w:hideMark/>
          </w:tcPr>
          <w:p w14:paraId="519471DF" w14:textId="77777777" w:rsidR="00356493" w:rsidRPr="00266BAD" w:rsidRDefault="00356493" w:rsidP="00356493">
            <w:pPr>
              <w:spacing w:after="0" w:line="240" w:lineRule="auto"/>
              <w:jc w:val="center"/>
              <w:rPr>
                <w:rFonts w:ascii="Cambria" w:eastAsia="Times New Roman" w:hAnsi="Cambria" w:cs="Calibri"/>
                <w:b/>
                <w:bCs/>
                <w:color w:val="FFFFFF"/>
                <w:sz w:val="28"/>
                <w:szCs w:val="28"/>
                <w:lang w:eastAsia="es-CR"/>
              </w:rPr>
            </w:pPr>
            <w:r w:rsidRPr="00266BAD">
              <w:rPr>
                <w:rFonts w:ascii="Cambria" w:eastAsia="Times New Roman" w:hAnsi="Cambria" w:cs="Calibri"/>
                <w:b/>
                <w:bCs/>
                <w:color w:val="FFFFFF"/>
                <w:sz w:val="28"/>
                <w:szCs w:val="28"/>
                <w:lang w:eastAsia="es-CR"/>
              </w:rPr>
              <w:t>Tema</w:t>
            </w:r>
          </w:p>
        </w:tc>
      </w:tr>
      <w:tr w:rsidR="00356493" w:rsidRPr="00266BAD" w14:paraId="2D3DE0CE" w14:textId="77777777" w:rsidTr="00356493">
        <w:trPr>
          <w:trHeight w:val="1800"/>
        </w:trPr>
        <w:tc>
          <w:tcPr>
            <w:tcW w:w="1456" w:type="dxa"/>
            <w:shd w:val="clear" w:color="auto" w:fill="auto"/>
            <w:vAlign w:val="center"/>
            <w:hideMark/>
          </w:tcPr>
          <w:p w14:paraId="4CD46C7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164-18</w:t>
            </w:r>
          </w:p>
        </w:tc>
        <w:tc>
          <w:tcPr>
            <w:tcW w:w="8175" w:type="dxa"/>
            <w:shd w:val="clear" w:color="auto" w:fill="auto"/>
            <w:hideMark/>
          </w:tcPr>
          <w:p w14:paraId="0C517D3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Consulta del Juez Jorge Ortega, del Juzgado Contravencional de Tarraz</w:t>
            </w:r>
            <w:r>
              <w:rPr>
                <w:rFonts w:ascii="Cambria" w:eastAsia="Times New Roman" w:hAnsi="Cambria" w:cs="Calibri"/>
                <w:sz w:val="20"/>
                <w:szCs w:val="20"/>
                <w:lang w:eastAsia="es-CR"/>
              </w:rPr>
              <w:t>ú</w:t>
            </w:r>
            <w:r w:rsidRPr="00266BAD">
              <w:rPr>
                <w:rFonts w:ascii="Cambria" w:eastAsia="Times New Roman" w:hAnsi="Cambria" w:cs="Calibri"/>
                <w:sz w:val="20"/>
                <w:szCs w:val="20"/>
                <w:lang w:eastAsia="es-CR"/>
              </w:rPr>
              <w:t>, relacionado con la Ley de Conservación de la Vida Silvestre, en aplicación de las penas de días multas en conversión días de prisión.</w:t>
            </w:r>
          </w:p>
        </w:tc>
      </w:tr>
      <w:tr w:rsidR="00356493" w:rsidRPr="00266BAD" w14:paraId="4AF82372" w14:textId="77777777" w:rsidTr="00356493">
        <w:trPr>
          <w:trHeight w:val="1545"/>
        </w:trPr>
        <w:tc>
          <w:tcPr>
            <w:tcW w:w="1456" w:type="dxa"/>
            <w:shd w:val="clear" w:color="auto" w:fill="auto"/>
            <w:vAlign w:val="center"/>
            <w:hideMark/>
          </w:tcPr>
          <w:p w14:paraId="39E6044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243-18</w:t>
            </w:r>
          </w:p>
        </w:tc>
        <w:tc>
          <w:tcPr>
            <w:tcW w:w="8175" w:type="dxa"/>
            <w:shd w:val="clear" w:color="auto" w:fill="auto"/>
            <w:hideMark/>
          </w:tcPr>
          <w:p w14:paraId="483F99B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1527-PLA-2018, de la dirección de Planificación, remitiendo aclaración estadística, de la consulta 106-18, acordada mediante oficio 12340-18, del Consejo Superior, sobre el Tribunal de Apelación de Sentencia del 2017, referencia oficio CJP106-18 y CJP227-18.</w:t>
            </w:r>
          </w:p>
        </w:tc>
      </w:tr>
      <w:tr w:rsidR="00356493" w:rsidRPr="00266BAD" w14:paraId="376EC29D" w14:textId="77777777" w:rsidTr="00356493">
        <w:trPr>
          <w:trHeight w:val="2115"/>
        </w:trPr>
        <w:tc>
          <w:tcPr>
            <w:tcW w:w="1456" w:type="dxa"/>
            <w:shd w:val="clear" w:color="auto" w:fill="auto"/>
            <w:vAlign w:val="center"/>
            <w:hideMark/>
          </w:tcPr>
          <w:p w14:paraId="2C74A7D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045-19</w:t>
            </w:r>
          </w:p>
        </w:tc>
        <w:tc>
          <w:tcPr>
            <w:tcW w:w="8175" w:type="dxa"/>
            <w:shd w:val="clear" w:color="auto" w:fill="auto"/>
            <w:hideMark/>
          </w:tcPr>
          <w:p w14:paraId="12573A9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541-PLA-OI-2019 de la dirección de Planificación, sobre las acciones realizadas por esta Dirección en el Tribunal de Juicio de Limón, se da el plazo de 8 días, solamente se le copia a la Comisión</w:t>
            </w:r>
            <w:r>
              <w:rPr>
                <w:rFonts w:ascii="Cambria" w:eastAsia="Times New Roman" w:hAnsi="Cambria" w:cs="Calibri"/>
                <w:sz w:val="20"/>
                <w:szCs w:val="20"/>
                <w:lang w:eastAsia="es-CR"/>
              </w:rPr>
              <w:t>.</w:t>
            </w:r>
          </w:p>
        </w:tc>
      </w:tr>
      <w:tr w:rsidR="00356493" w:rsidRPr="00266BAD" w14:paraId="21031838" w14:textId="77777777" w:rsidTr="00356493">
        <w:trPr>
          <w:trHeight w:val="1800"/>
        </w:trPr>
        <w:tc>
          <w:tcPr>
            <w:tcW w:w="1456" w:type="dxa"/>
            <w:shd w:val="clear" w:color="auto" w:fill="auto"/>
            <w:vAlign w:val="center"/>
            <w:hideMark/>
          </w:tcPr>
          <w:p w14:paraId="2F2CD72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052-19</w:t>
            </w:r>
          </w:p>
        </w:tc>
        <w:tc>
          <w:tcPr>
            <w:tcW w:w="8175" w:type="dxa"/>
            <w:shd w:val="clear" w:color="auto" w:fill="auto"/>
            <w:hideMark/>
          </w:tcPr>
          <w:p w14:paraId="6645DB8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559-PLA-OI-2019, de la Dirección de Planificación, sobre el impacto de la descentralización de los delitos de Hacienda y La Función Pública, oficio 50-PLA-OI-2019, se le copia a la Comisión.</w:t>
            </w:r>
          </w:p>
        </w:tc>
      </w:tr>
      <w:tr w:rsidR="00356493" w:rsidRPr="00266BAD" w14:paraId="7AE6050E" w14:textId="77777777" w:rsidTr="00356493">
        <w:trPr>
          <w:trHeight w:val="1800"/>
        </w:trPr>
        <w:tc>
          <w:tcPr>
            <w:tcW w:w="1456" w:type="dxa"/>
            <w:shd w:val="clear" w:color="auto" w:fill="auto"/>
            <w:vAlign w:val="center"/>
            <w:hideMark/>
          </w:tcPr>
          <w:p w14:paraId="0EC4D7D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056-19</w:t>
            </w:r>
          </w:p>
        </w:tc>
        <w:tc>
          <w:tcPr>
            <w:tcW w:w="8175" w:type="dxa"/>
            <w:shd w:val="clear" w:color="auto" w:fill="auto"/>
            <w:hideMark/>
          </w:tcPr>
          <w:p w14:paraId="30990F2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214-CACMFJ-JEF-2018, del Centro de Apoyo, Coordinación y Mejoramiento de la Función Jurisdiccional, solicitando criterio de la Comisión sobre los procesos de audiencias masivas</w:t>
            </w:r>
            <w:r>
              <w:rPr>
                <w:rFonts w:ascii="Cambria" w:eastAsia="Times New Roman" w:hAnsi="Cambria" w:cs="Calibri"/>
                <w:sz w:val="20"/>
                <w:szCs w:val="20"/>
                <w:lang w:eastAsia="es-CR"/>
              </w:rPr>
              <w:t>.</w:t>
            </w:r>
          </w:p>
        </w:tc>
      </w:tr>
      <w:tr w:rsidR="00356493" w:rsidRPr="00266BAD" w14:paraId="67AB6947" w14:textId="77777777" w:rsidTr="00356493">
        <w:trPr>
          <w:trHeight w:val="1544"/>
        </w:trPr>
        <w:tc>
          <w:tcPr>
            <w:tcW w:w="1456" w:type="dxa"/>
            <w:shd w:val="clear" w:color="auto" w:fill="auto"/>
            <w:vAlign w:val="center"/>
            <w:hideMark/>
          </w:tcPr>
          <w:p w14:paraId="655CE06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060-19</w:t>
            </w:r>
          </w:p>
        </w:tc>
        <w:tc>
          <w:tcPr>
            <w:tcW w:w="8175" w:type="dxa"/>
            <w:shd w:val="clear" w:color="auto" w:fill="auto"/>
            <w:hideMark/>
          </w:tcPr>
          <w:p w14:paraId="37197BB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4499-19 del Consejo Superior comunicando acuerdo de sesión 34-19 del 23 de abril de 2019, artículo LXIX, relativo al informe 410-DG-2019, del Organismo de Investigación Judicial, sobre el protocolo de cadena de custodia</w:t>
            </w:r>
            <w:r>
              <w:rPr>
                <w:rFonts w:ascii="Cambria" w:eastAsia="Times New Roman" w:hAnsi="Cambria" w:cs="Calibri"/>
                <w:sz w:val="20"/>
                <w:szCs w:val="20"/>
                <w:lang w:eastAsia="es-CR"/>
              </w:rPr>
              <w:t>.</w:t>
            </w:r>
          </w:p>
        </w:tc>
      </w:tr>
      <w:tr w:rsidR="00356493" w:rsidRPr="00266BAD" w14:paraId="2AA18B3C" w14:textId="77777777" w:rsidTr="00356493">
        <w:trPr>
          <w:trHeight w:val="1545"/>
        </w:trPr>
        <w:tc>
          <w:tcPr>
            <w:tcW w:w="1456" w:type="dxa"/>
            <w:shd w:val="clear" w:color="auto" w:fill="auto"/>
            <w:vAlign w:val="center"/>
            <w:hideMark/>
          </w:tcPr>
          <w:p w14:paraId="35F2AE2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062-19</w:t>
            </w:r>
          </w:p>
        </w:tc>
        <w:tc>
          <w:tcPr>
            <w:tcW w:w="8175" w:type="dxa"/>
            <w:shd w:val="clear" w:color="auto" w:fill="auto"/>
            <w:hideMark/>
          </w:tcPr>
          <w:p w14:paraId="3A109E9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Jueza Natalia Rodríguez, del Juzgado Penal de Pavas, solicitando colaboración de la Comisión sobre la problemática en la reestructuración y la gran cantidad de solicitudes que ingresan al Juzgado Penal de Pavas. </w:t>
            </w:r>
          </w:p>
        </w:tc>
      </w:tr>
      <w:tr w:rsidR="00356493" w:rsidRPr="00266BAD" w14:paraId="380BBC93" w14:textId="77777777" w:rsidTr="00356493">
        <w:trPr>
          <w:trHeight w:val="1800"/>
        </w:trPr>
        <w:tc>
          <w:tcPr>
            <w:tcW w:w="1456" w:type="dxa"/>
            <w:shd w:val="clear" w:color="auto" w:fill="auto"/>
            <w:vAlign w:val="center"/>
            <w:hideMark/>
          </w:tcPr>
          <w:p w14:paraId="126737F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069-19</w:t>
            </w:r>
          </w:p>
        </w:tc>
        <w:tc>
          <w:tcPr>
            <w:tcW w:w="8175" w:type="dxa"/>
            <w:shd w:val="clear" w:color="auto" w:fill="auto"/>
            <w:hideMark/>
          </w:tcPr>
          <w:p w14:paraId="1CDBD1C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4411-19 de Corte Plena, comunicando acuerdo 13-19 del 25 de marzo de 2019, artículo XXI, sobre el protocolo de actuación para el desempeño de los tribunales de juicio</w:t>
            </w:r>
            <w:r>
              <w:rPr>
                <w:rFonts w:ascii="Cambria" w:eastAsia="Times New Roman" w:hAnsi="Cambria" w:cs="Calibri"/>
                <w:sz w:val="20"/>
                <w:szCs w:val="20"/>
                <w:lang w:eastAsia="es-CR"/>
              </w:rPr>
              <w:t>.</w:t>
            </w:r>
          </w:p>
        </w:tc>
      </w:tr>
      <w:tr w:rsidR="00356493" w:rsidRPr="00266BAD" w14:paraId="650FF92C" w14:textId="77777777" w:rsidTr="00356493">
        <w:trPr>
          <w:trHeight w:val="1800"/>
        </w:trPr>
        <w:tc>
          <w:tcPr>
            <w:tcW w:w="1456" w:type="dxa"/>
            <w:shd w:val="clear" w:color="auto" w:fill="auto"/>
            <w:vAlign w:val="center"/>
            <w:hideMark/>
          </w:tcPr>
          <w:p w14:paraId="354E21D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075-19</w:t>
            </w:r>
          </w:p>
        </w:tc>
        <w:tc>
          <w:tcPr>
            <w:tcW w:w="8175" w:type="dxa"/>
            <w:shd w:val="clear" w:color="auto" w:fill="auto"/>
            <w:hideMark/>
          </w:tcPr>
          <w:p w14:paraId="117588D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Licda. Natalia Orozco Murillo, consultando sobre la aplicación de la prescripción en la ley de tránsito, luego de la reforma de la Ley 9078. Antecedente CJP079-16. </w:t>
            </w:r>
          </w:p>
        </w:tc>
      </w:tr>
      <w:tr w:rsidR="00356493" w:rsidRPr="00266BAD" w14:paraId="2161A5A0" w14:textId="77777777" w:rsidTr="00356493">
        <w:trPr>
          <w:trHeight w:val="1545"/>
        </w:trPr>
        <w:tc>
          <w:tcPr>
            <w:tcW w:w="1456" w:type="dxa"/>
            <w:shd w:val="clear" w:color="auto" w:fill="auto"/>
            <w:vAlign w:val="center"/>
            <w:hideMark/>
          </w:tcPr>
          <w:p w14:paraId="30D6EEF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080-19</w:t>
            </w:r>
          </w:p>
        </w:tc>
        <w:tc>
          <w:tcPr>
            <w:tcW w:w="8175" w:type="dxa"/>
            <w:shd w:val="clear" w:color="auto" w:fill="auto"/>
            <w:hideMark/>
          </w:tcPr>
          <w:p w14:paraId="409B503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Lcda. Brisa Campbell Arguello, de fecha 5 de junio de 2019, consultando sobre el responsable del trámite en los asuntos de delito de acción privada (Querella)</w:t>
            </w:r>
            <w:r>
              <w:rPr>
                <w:rFonts w:ascii="Cambria" w:eastAsia="Times New Roman" w:hAnsi="Cambria" w:cs="Calibri"/>
                <w:sz w:val="20"/>
                <w:szCs w:val="20"/>
                <w:lang w:eastAsia="es-CR"/>
              </w:rPr>
              <w:t>.</w:t>
            </w:r>
          </w:p>
        </w:tc>
      </w:tr>
      <w:tr w:rsidR="00356493" w:rsidRPr="00266BAD" w14:paraId="2FC71726" w14:textId="77777777" w:rsidTr="00356493">
        <w:trPr>
          <w:trHeight w:val="1800"/>
        </w:trPr>
        <w:tc>
          <w:tcPr>
            <w:tcW w:w="1456" w:type="dxa"/>
            <w:shd w:val="clear" w:color="auto" w:fill="auto"/>
            <w:vAlign w:val="center"/>
            <w:hideMark/>
          </w:tcPr>
          <w:p w14:paraId="3A1BBBD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100-19</w:t>
            </w:r>
          </w:p>
        </w:tc>
        <w:tc>
          <w:tcPr>
            <w:tcW w:w="8175" w:type="dxa"/>
            <w:shd w:val="clear" w:color="auto" w:fill="auto"/>
            <w:hideMark/>
          </w:tcPr>
          <w:p w14:paraId="5501592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6732-19 del Consejo Superior, comunicando acuerdo de sesión 59-19 del 3 de julio de 2019, artículo V, sobre visita realizada por el Tribunal de la Inspección al Tribunal de Juicio de Limón, donde se acordó pedir un informe en el plazo de dos meses, ingreso el 08-07-2019. (945-IJ-2019)</w:t>
            </w:r>
          </w:p>
        </w:tc>
      </w:tr>
      <w:tr w:rsidR="00356493" w:rsidRPr="00266BAD" w14:paraId="23DCCF17" w14:textId="77777777" w:rsidTr="00356493">
        <w:trPr>
          <w:trHeight w:val="1800"/>
        </w:trPr>
        <w:tc>
          <w:tcPr>
            <w:tcW w:w="1456" w:type="dxa"/>
            <w:shd w:val="clear" w:color="auto" w:fill="auto"/>
            <w:vAlign w:val="center"/>
            <w:hideMark/>
          </w:tcPr>
          <w:p w14:paraId="03CFD3B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102-19</w:t>
            </w:r>
          </w:p>
        </w:tc>
        <w:tc>
          <w:tcPr>
            <w:tcW w:w="8175" w:type="dxa"/>
            <w:shd w:val="clear" w:color="auto" w:fill="auto"/>
            <w:hideMark/>
          </w:tcPr>
          <w:p w14:paraId="56F8DA5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6916-19 del Consejo Superior, comunicando acuerdo de sesión 60-19, del 04 de julio del 2019, artículo XXX, sobre las reglas para el dictado de sentencias orales o escritas en las distintas jurisdicciones del país, atendida por la comisión mediante oficio CJP113-2019, se trasladan las observaciones a la Comisión. </w:t>
            </w:r>
          </w:p>
        </w:tc>
      </w:tr>
      <w:tr w:rsidR="00356493" w:rsidRPr="00266BAD" w14:paraId="2E4B886E" w14:textId="77777777" w:rsidTr="00356493">
        <w:trPr>
          <w:trHeight w:val="1800"/>
        </w:trPr>
        <w:tc>
          <w:tcPr>
            <w:tcW w:w="1456" w:type="dxa"/>
            <w:shd w:val="clear" w:color="auto" w:fill="auto"/>
            <w:vAlign w:val="center"/>
            <w:hideMark/>
          </w:tcPr>
          <w:p w14:paraId="6901618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105-19</w:t>
            </w:r>
          </w:p>
        </w:tc>
        <w:tc>
          <w:tcPr>
            <w:tcW w:w="8175" w:type="dxa"/>
            <w:shd w:val="clear" w:color="auto" w:fill="auto"/>
            <w:hideMark/>
          </w:tcPr>
          <w:p w14:paraId="7507260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del 07 de junio de 2018, no ingresado en su oportunidad, de parte del señor Jorge Steve Fernández Rodríguez, consultando el criterio de la Comisión sobre el dictado de la sentencia oral mediante lectura, y la obligatoriedad de la presencia del juez</w:t>
            </w:r>
            <w:r>
              <w:rPr>
                <w:rFonts w:ascii="Cambria" w:eastAsia="Times New Roman" w:hAnsi="Cambria" w:cs="Calibri"/>
                <w:sz w:val="20"/>
                <w:szCs w:val="20"/>
                <w:lang w:eastAsia="es-CR"/>
              </w:rPr>
              <w:t>.</w:t>
            </w:r>
          </w:p>
        </w:tc>
      </w:tr>
      <w:tr w:rsidR="00356493" w:rsidRPr="00266BAD" w14:paraId="433A593C" w14:textId="77777777" w:rsidTr="00356493">
        <w:trPr>
          <w:trHeight w:val="1800"/>
        </w:trPr>
        <w:tc>
          <w:tcPr>
            <w:tcW w:w="1456" w:type="dxa"/>
            <w:shd w:val="clear" w:color="auto" w:fill="auto"/>
            <w:vAlign w:val="center"/>
            <w:hideMark/>
          </w:tcPr>
          <w:p w14:paraId="22BDB75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110-19</w:t>
            </w:r>
          </w:p>
        </w:tc>
        <w:tc>
          <w:tcPr>
            <w:tcW w:w="8175" w:type="dxa"/>
            <w:shd w:val="clear" w:color="auto" w:fill="auto"/>
            <w:hideMark/>
          </w:tcPr>
          <w:p w14:paraId="632FFE4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Fabricio Wong Álvarez, juez del Tribunal Penal de San Ramón, solicitando el criterio de la Comisión al respecto de la integración del Tribunal en la celebración de audiencias previas al debate, en el sentido de sí debe o no ser colegiadas. </w:t>
            </w:r>
          </w:p>
        </w:tc>
      </w:tr>
      <w:tr w:rsidR="00356493" w:rsidRPr="00266BAD" w14:paraId="1A62BDD7" w14:textId="77777777" w:rsidTr="00356493">
        <w:trPr>
          <w:trHeight w:val="1800"/>
        </w:trPr>
        <w:tc>
          <w:tcPr>
            <w:tcW w:w="1456" w:type="dxa"/>
            <w:shd w:val="clear" w:color="auto" w:fill="auto"/>
            <w:vAlign w:val="center"/>
            <w:hideMark/>
          </w:tcPr>
          <w:p w14:paraId="307E272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114-19</w:t>
            </w:r>
          </w:p>
        </w:tc>
        <w:tc>
          <w:tcPr>
            <w:tcW w:w="8175" w:type="dxa"/>
            <w:shd w:val="clear" w:color="auto" w:fill="auto"/>
            <w:hideMark/>
          </w:tcPr>
          <w:p w14:paraId="72B1645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licenciado </w:t>
            </w:r>
            <w:proofErr w:type="spellStart"/>
            <w:r w:rsidRPr="00266BAD">
              <w:rPr>
                <w:rFonts w:ascii="Cambria" w:eastAsia="Times New Roman" w:hAnsi="Cambria" w:cs="Calibri"/>
                <w:sz w:val="20"/>
                <w:szCs w:val="20"/>
                <w:lang w:eastAsia="es-CR"/>
              </w:rPr>
              <w:t>Yulián</w:t>
            </w:r>
            <w:proofErr w:type="spellEnd"/>
            <w:r w:rsidRPr="00266BAD">
              <w:rPr>
                <w:rFonts w:ascii="Cambria" w:eastAsia="Times New Roman" w:hAnsi="Cambria" w:cs="Calibri"/>
                <w:sz w:val="20"/>
                <w:szCs w:val="20"/>
                <w:lang w:eastAsia="es-CR"/>
              </w:rPr>
              <w:t xml:space="preserve"> Masís Aguilar, sobre la obligación en tiempo de presentar el documento producto de una presentación o localización de una persona, aun cuando ya se haya hecho la presentación al despacho</w:t>
            </w:r>
            <w:r>
              <w:rPr>
                <w:rFonts w:ascii="Cambria" w:eastAsia="Times New Roman" w:hAnsi="Cambria" w:cs="Calibri"/>
                <w:sz w:val="20"/>
                <w:szCs w:val="20"/>
                <w:lang w:eastAsia="es-CR"/>
              </w:rPr>
              <w:t>.</w:t>
            </w:r>
          </w:p>
        </w:tc>
      </w:tr>
      <w:tr w:rsidR="00356493" w:rsidRPr="00266BAD" w14:paraId="7F93E7BC" w14:textId="77777777" w:rsidTr="00356493">
        <w:trPr>
          <w:trHeight w:val="1800"/>
        </w:trPr>
        <w:tc>
          <w:tcPr>
            <w:tcW w:w="1456" w:type="dxa"/>
            <w:shd w:val="clear" w:color="auto" w:fill="auto"/>
            <w:vAlign w:val="center"/>
            <w:hideMark/>
          </w:tcPr>
          <w:p w14:paraId="591993F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118-19</w:t>
            </w:r>
          </w:p>
        </w:tc>
        <w:tc>
          <w:tcPr>
            <w:tcW w:w="8175" w:type="dxa"/>
            <w:shd w:val="clear" w:color="auto" w:fill="auto"/>
            <w:hideMark/>
          </w:tcPr>
          <w:p w14:paraId="454EEAD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compañera técnica judicial Angie Loria Gamboa, de fecha 24 de julio del año en curso, solicitando el criterio de la comisión, acerca de la prioridad que puede tener un señalamiento de anticipo jurisdiccional de prueba con personas detenida y un señalamiento a debate con delito prescrito y otro que están por prescribir.</w:t>
            </w:r>
          </w:p>
        </w:tc>
      </w:tr>
      <w:tr w:rsidR="00356493" w:rsidRPr="00266BAD" w14:paraId="323BD7B2" w14:textId="77777777" w:rsidTr="00356493">
        <w:trPr>
          <w:trHeight w:val="2259"/>
        </w:trPr>
        <w:tc>
          <w:tcPr>
            <w:tcW w:w="1456" w:type="dxa"/>
            <w:shd w:val="clear" w:color="auto" w:fill="auto"/>
            <w:vAlign w:val="center"/>
            <w:hideMark/>
          </w:tcPr>
          <w:p w14:paraId="682E08E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124-19</w:t>
            </w:r>
          </w:p>
        </w:tc>
        <w:tc>
          <w:tcPr>
            <w:tcW w:w="8175" w:type="dxa"/>
            <w:shd w:val="clear" w:color="auto" w:fill="auto"/>
            <w:hideMark/>
          </w:tcPr>
          <w:p w14:paraId="4917D46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Dra. Mayra Campos, relativo al tema tomado en sesión 05-19 sobre la recepción de los expedientes en los despachos judiciales, y la unificación de criterios</w:t>
            </w:r>
            <w:r>
              <w:rPr>
                <w:rFonts w:ascii="Cambria" w:eastAsia="Times New Roman" w:hAnsi="Cambria" w:cs="Calibri"/>
                <w:sz w:val="20"/>
                <w:szCs w:val="20"/>
                <w:lang w:eastAsia="es-CR"/>
              </w:rPr>
              <w:t>.</w:t>
            </w:r>
          </w:p>
        </w:tc>
      </w:tr>
      <w:tr w:rsidR="00356493" w:rsidRPr="00266BAD" w14:paraId="7C64BFBF" w14:textId="77777777" w:rsidTr="00356493">
        <w:trPr>
          <w:trHeight w:val="1800"/>
        </w:trPr>
        <w:tc>
          <w:tcPr>
            <w:tcW w:w="1456" w:type="dxa"/>
            <w:shd w:val="clear" w:color="auto" w:fill="auto"/>
            <w:vAlign w:val="center"/>
            <w:hideMark/>
          </w:tcPr>
          <w:p w14:paraId="3CCE999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128-19</w:t>
            </w:r>
          </w:p>
        </w:tc>
        <w:tc>
          <w:tcPr>
            <w:tcW w:w="8175" w:type="dxa"/>
            <w:shd w:val="clear" w:color="auto" w:fill="auto"/>
            <w:hideMark/>
          </w:tcPr>
          <w:p w14:paraId="5CE5F13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7704-19 del Consejo Superior, comunicando acuerdo de sesión 66-19 del 24 de julio de 2019, artículo LXXVIII sobre el oficio 1089-PLA-ES-2019, relacionado a los cuadros estadísticos de "personas fallecidas por accidente de tránsito ocurridas en el 2018"</w:t>
            </w:r>
            <w:r>
              <w:rPr>
                <w:rFonts w:ascii="Cambria" w:eastAsia="Times New Roman" w:hAnsi="Cambria" w:cs="Calibri"/>
                <w:sz w:val="20"/>
                <w:szCs w:val="20"/>
                <w:lang w:eastAsia="es-CR"/>
              </w:rPr>
              <w:t>.</w:t>
            </w:r>
          </w:p>
        </w:tc>
      </w:tr>
      <w:tr w:rsidR="00356493" w:rsidRPr="00266BAD" w14:paraId="739E4116" w14:textId="77777777" w:rsidTr="00356493">
        <w:trPr>
          <w:trHeight w:val="1800"/>
        </w:trPr>
        <w:tc>
          <w:tcPr>
            <w:tcW w:w="1456" w:type="dxa"/>
            <w:shd w:val="clear" w:color="auto" w:fill="auto"/>
            <w:vAlign w:val="center"/>
            <w:hideMark/>
          </w:tcPr>
          <w:p w14:paraId="401CF5A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130-19</w:t>
            </w:r>
          </w:p>
        </w:tc>
        <w:tc>
          <w:tcPr>
            <w:tcW w:w="8175" w:type="dxa"/>
            <w:shd w:val="clear" w:color="auto" w:fill="auto"/>
            <w:hideMark/>
          </w:tcPr>
          <w:p w14:paraId="3207E30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7733-19 del Consejo Superior, comunicando acuerdo de sesión 66-19 del 24 de julio de 2019, artículo LXXIX, sobre el oficio 1090-PLA-ES-2019, sobre las muertes ocurridas por homicidio culposo en Costa Rica durante el 2018.</w:t>
            </w:r>
          </w:p>
        </w:tc>
      </w:tr>
      <w:tr w:rsidR="00356493" w:rsidRPr="00266BAD" w14:paraId="3FE99698" w14:textId="77777777" w:rsidTr="00356493">
        <w:trPr>
          <w:trHeight w:val="1545"/>
        </w:trPr>
        <w:tc>
          <w:tcPr>
            <w:tcW w:w="1456" w:type="dxa"/>
            <w:shd w:val="clear" w:color="auto" w:fill="auto"/>
            <w:vAlign w:val="center"/>
            <w:hideMark/>
          </w:tcPr>
          <w:p w14:paraId="1933E14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131-19</w:t>
            </w:r>
          </w:p>
        </w:tc>
        <w:tc>
          <w:tcPr>
            <w:tcW w:w="8175" w:type="dxa"/>
            <w:shd w:val="clear" w:color="auto" w:fill="auto"/>
            <w:hideMark/>
          </w:tcPr>
          <w:p w14:paraId="7655429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señora Carmen Rodríguez Montoya, consultando el criterio de la Comisión, sobre el tema de las incongruencias plasmadas en la minuta elaborada por el Juez penal, en relación a sentencia oral</w:t>
            </w:r>
            <w:r>
              <w:rPr>
                <w:rFonts w:ascii="Cambria" w:eastAsia="Times New Roman" w:hAnsi="Cambria" w:cs="Calibri"/>
                <w:sz w:val="20"/>
                <w:szCs w:val="20"/>
                <w:lang w:eastAsia="es-CR"/>
              </w:rPr>
              <w:t>.</w:t>
            </w:r>
          </w:p>
        </w:tc>
      </w:tr>
      <w:tr w:rsidR="00356493" w:rsidRPr="00266BAD" w14:paraId="0FF0B3BC" w14:textId="77777777" w:rsidTr="00356493">
        <w:trPr>
          <w:trHeight w:val="1800"/>
        </w:trPr>
        <w:tc>
          <w:tcPr>
            <w:tcW w:w="1456" w:type="dxa"/>
            <w:shd w:val="clear" w:color="auto" w:fill="auto"/>
            <w:vAlign w:val="center"/>
            <w:hideMark/>
          </w:tcPr>
          <w:p w14:paraId="7F430DF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133-19</w:t>
            </w:r>
          </w:p>
        </w:tc>
        <w:tc>
          <w:tcPr>
            <w:tcW w:w="8175" w:type="dxa"/>
            <w:shd w:val="clear" w:color="auto" w:fill="auto"/>
            <w:hideMark/>
          </w:tcPr>
          <w:p w14:paraId="4A7BF19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1245-PLA-ES-2019 de la Dirección de Planificación, sobre informe estadísticos relacionado con los cuadros estadísticos sobre homicidio dolosos durante el 2018 y el último quinquenio</w:t>
            </w:r>
            <w:r>
              <w:rPr>
                <w:rFonts w:ascii="Cambria" w:eastAsia="Times New Roman" w:hAnsi="Cambria" w:cs="Calibri"/>
                <w:sz w:val="20"/>
                <w:szCs w:val="20"/>
                <w:lang w:eastAsia="es-CR"/>
              </w:rPr>
              <w:t>.</w:t>
            </w:r>
          </w:p>
        </w:tc>
      </w:tr>
      <w:tr w:rsidR="00356493" w:rsidRPr="00266BAD" w14:paraId="7005C3A0" w14:textId="77777777" w:rsidTr="00356493">
        <w:trPr>
          <w:trHeight w:val="1800"/>
        </w:trPr>
        <w:tc>
          <w:tcPr>
            <w:tcW w:w="1456" w:type="dxa"/>
            <w:shd w:val="clear" w:color="auto" w:fill="auto"/>
            <w:vAlign w:val="center"/>
            <w:hideMark/>
          </w:tcPr>
          <w:p w14:paraId="202BE06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134-19</w:t>
            </w:r>
          </w:p>
        </w:tc>
        <w:tc>
          <w:tcPr>
            <w:tcW w:w="8175" w:type="dxa"/>
            <w:shd w:val="clear" w:color="auto" w:fill="auto"/>
            <w:hideMark/>
          </w:tcPr>
          <w:p w14:paraId="4E4CB69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1244-PLA-ES-2019 de la Dirección de Planificación, sobre las muertes de mujeres por razones de género bajo el ámbito de la Ley de Penalización de la Violencia contra la Mujer y la Convención para el 2018, y el último quinquenio</w:t>
            </w:r>
            <w:r>
              <w:rPr>
                <w:rFonts w:ascii="Cambria" w:eastAsia="Times New Roman" w:hAnsi="Cambria" w:cs="Calibri"/>
                <w:sz w:val="20"/>
                <w:szCs w:val="20"/>
                <w:lang w:eastAsia="es-CR"/>
              </w:rPr>
              <w:t>.</w:t>
            </w:r>
          </w:p>
        </w:tc>
      </w:tr>
      <w:tr w:rsidR="00356493" w:rsidRPr="00266BAD" w14:paraId="7A1CAB21" w14:textId="77777777" w:rsidTr="00356493">
        <w:trPr>
          <w:trHeight w:val="1545"/>
        </w:trPr>
        <w:tc>
          <w:tcPr>
            <w:tcW w:w="1456" w:type="dxa"/>
            <w:shd w:val="clear" w:color="auto" w:fill="auto"/>
            <w:vAlign w:val="center"/>
            <w:hideMark/>
          </w:tcPr>
          <w:p w14:paraId="282ECC3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135-19</w:t>
            </w:r>
          </w:p>
        </w:tc>
        <w:tc>
          <w:tcPr>
            <w:tcW w:w="8175" w:type="dxa"/>
            <w:shd w:val="clear" w:color="auto" w:fill="auto"/>
            <w:hideMark/>
          </w:tcPr>
          <w:p w14:paraId="265DDE0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1239-PLA-ES-2019 de la Dirección de Planificación relacionado con los movimientos de trabajo en los tribunales de apelación durante el 2018</w:t>
            </w:r>
            <w:r>
              <w:rPr>
                <w:rFonts w:ascii="Cambria" w:eastAsia="Times New Roman" w:hAnsi="Cambria" w:cs="Calibri"/>
                <w:sz w:val="20"/>
                <w:szCs w:val="20"/>
                <w:lang w:eastAsia="es-CR"/>
              </w:rPr>
              <w:t>.</w:t>
            </w:r>
          </w:p>
        </w:tc>
      </w:tr>
      <w:tr w:rsidR="00356493" w:rsidRPr="00266BAD" w14:paraId="58FF615F" w14:textId="77777777" w:rsidTr="00356493">
        <w:trPr>
          <w:trHeight w:val="1800"/>
        </w:trPr>
        <w:tc>
          <w:tcPr>
            <w:tcW w:w="1456" w:type="dxa"/>
            <w:shd w:val="clear" w:color="auto" w:fill="auto"/>
            <w:vAlign w:val="center"/>
            <w:hideMark/>
          </w:tcPr>
          <w:p w14:paraId="38DE0E5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138-19</w:t>
            </w:r>
          </w:p>
        </w:tc>
        <w:tc>
          <w:tcPr>
            <w:tcW w:w="8175" w:type="dxa"/>
            <w:shd w:val="clear" w:color="auto" w:fill="auto"/>
            <w:hideMark/>
          </w:tcPr>
          <w:p w14:paraId="39D91B7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1249-PLA-ES-2019, de la Dirección de Planificación </w:t>
            </w:r>
            <w:r>
              <w:rPr>
                <w:rFonts w:ascii="Cambria" w:eastAsia="Times New Roman" w:hAnsi="Cambria" w:cs="Calibri"/>
                <w:sz w:val="20"/>
                <w:szCs w:val="20"/>
                <w:lang w:eastAsia="es-CR"/>
              </w:rPr>
              <w:t>remitiendo</w:t>
            </w:r>
            <w:r w:rsidRPr="00266BAD">
              <w:rPr>
                <w:rFonts w:ascii="Cambria" w:eastAsia="Times New Roman" w:hAnsi="Cambria" w:cs="Calibri"/>
                <w:sz w:val="20"/>
                <w:szCs w:val="20"/>
                <w:lang w:eastAsia="es-CR"/>
              </w:rPr>
              <w:t xml:space="preserve"> informe relacionado con el movimiento de trabajo de los Juzgados Penales durante el 2018 y el último quinquenio</w:t>
            </w:r>
            <w:r>
              <w:rPr>
                <w:rFonts w:ascii="Cambria" w:eastAsia="Times New Roman" w:hAnsi="Cambria" w:cs="Calibri"/>
                <w:sz w:val="20"/>
                <w:szCs w:val="20"/>
                <w:lang w:eastAsia="es-CR"/>
              </w:rPr>
              <w:t>.</w:t>
            </w:r>
          </w:p>
        </w:tc>
      </w:tr>
      <w:tr w:rsidR="00356493" w:rsidRPr="00266BAD" w14:paraId="7F52C44A" w14:textId="77777777" w:rsidTr="00356493">
        <w:trPr>
          <w:trHeight w:val="1800"/>
        </w:trPr>
        <w:tc>
          <w:tcPr>
            <w:tcW w:w="1456" w:type="dxa"/>
            <w:shd w:val="clear" w:color="auto" w:fill="auto"/>
            <w:vAlign w:val="center"/>
            <w:hideMark/>
          </w:tcPr>
          <w:p w14:paraId="58475BB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145-19</w:t>
            </w:r>
          </w:p>
        </w:tc>
        <w:tc>
          <w:tcPr>
            <w:tcW w:w="8175" w:type="dxa"/>
            <w:shd w:val="clear" w:color="auto" w:fill="auto"/>
            <w:hideMark/>
          </w:tcPr>
          <w:p w14:paraId="449766E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1333-PLA-ES-2019, de la Dirección de Planificación, remitiendo informe para estudio de la Comisión sobre los principales resultados obtenidos del análisis de las personas sentenciadas en los Tribunales Penales durante el 2018. </w:t>
            </w:r>
          </w:p>
        </w:tc>
      </w:tr>
      <w:tr w:rsidR="00356493" w:rsidRPr="00266BAD" w14:paraId="26837CD9" w14:textId="77777777" w:rsidTr="00356493">
        <w:trPr>
          <w:trHeight w:val="1800"/>
        </w:trPr>
        <w:tc>
          <w:tcPr>
            <w:tcW w:w="1456" w:type="dxa"/>
            <w:shd w:val="clear" w:color="auto" w:fill="auto"/>
            <w:vAlign w:val="center"/>
            <w:hideMark/>
          </w:tcPr>
          <w:p w14:paraId="2541431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146-19</w:t>
            </w:r>
          </w:p>
        </w:tc>
        <w:tc>
          <w:tcPr>
            <w:tcW w:w="8175" w:type="dxa"/>
            <w:shd w:val="clear" w:color="auto" w:fill="auto"/>
            <w:hideMark/>
          </w:tcPr>
          <w:p w14:paraId="53B6CA8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1334-PLA-MI-2019 de la Dirección de Planificación, solicitando el criterio y visto bueno de la Comisión sobre los formularios oficiales propuestos por el señor Carlos Alfonso Mor Mora coordinador judicial del Juzgado Contravencional y Meno Cuantía de Pavas, para las citaciones de la parte ofendida y la del imputado para la indagatoria. </w:t>
            </w:r>
          </w:p>
        </w:tc>
      </w:tr>
      <w:tr w:rsidR="00356493" w:rsidRPr="00266BAD" w14:paraId="2A28A962" w14:textId="77777777" w:rsidTr="00356493">
        <w:trPr>
          <w:trHeight w:val="1545"/>
        </w:trPr>
        <w:tc>
          <w:tcPr>
            <w:tcW w:w="1456" w:type="dxa"/>
            <w:shd w:val="clear" w:color="auto" w:fill="auto"/>
            <w:vAlign w:val="center"/>
            <w:hideMark/>
          </w:tcPr>
          <w:p w14:paraId="1D595D5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148-19</w:t>
            </w:r>
          </w:p>
        </w:tc>
        <w:tc>
          <w:tcPr>
            <w:tcW w:w="8175" w:type="dxa"/>
            <w:shd w:val="clear" w:color="auto" w:fill="auto"/>
            <w:hideMark/>
          </w:tcPr>
          <w:p w14:paraId="085E712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Consulta mediante oficio 39-JPENCOB-2019, del Juzgado Penal de Cobano, consultando el criterio de la Comisión sobre la practica tomada por distintas fiscalías del país, a la hora de presentar solicitudes tituladas como Excepciones previas. </w:t>
            </w:r>
          </w:p>
        </w:tc>
      </w:tr>
      <w:tr w:rsidR="00356493" w:rsidRPr="00266BAD" w14:paraId="094780F9" w14:textId="77777777" w:rsidTr="00356493">
        <w:trPr>
          <w:trHeight w:val="1800"/>
        </w:trPr>
        <w:tc>
          <w:tcPr>
            <w:tcW w:w="1456" w:type="dxa"/>
            <w:shd w:val="clear" w:color="auto" w:fill="auto"/>
            <w:vAlign w:val="center"/>
            <w:hideMark/>
          </w:tcPr>
          <w:p w14:paraId="74F6ECD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150-19</w:t>
            </w:r>
          </w:p>
        </w:tc>
        <w:tc>
          <w:tcPr>
            <w:tcW w:w="8175" w:type="dxa"/>
            <w:shd w:val="clear" w:color="auto" w:fill="auto"/>
            <w:hideMark/>
          </w:tcPr>
          <w:p w14:paraId="3FE9D97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8689-19 del Consejo Superior, comunicando acuerdo de sesión 74-19 del 21 de agosto de 2019, artículo XVIII, sobre la gestión presentada mediante oficio 047-CIJ-2019, por la licenciada Patricia Bonilla Rodríguez, del Centro de Información de Jurisprudencia para establecer los criterios específicos por valorar para </w:t>
            </w:r>
            <w:proofErr w:type="gramStart"/>
            <w:r w:rsidRPr="00266BAD">
              <w:rPr>
                <w:rFonts w:ascii="Cambria" w:eastAsia="Times New Roman" w:hAnsi="Cambria" w:cs="Calibri"/>
                <w:sz w:val="20"/>
                <w:szCs w:val="20"/>
                <w:lang w:eastAsia="es-CR"/>
              </w:rPr>
              <w:t>la</w:t>
            </w:r>
            <w:proofErr w:type="gramEnd"/>
            <w:r w:rsidRPr="00266BAD">
              <w:rPr>
                <w:rFonts w:ascii="Cambria" w:eastAsia="Times New Roman" w:hAnsi="Cambria" w:cs="Calibri"/>
                <w:sz w:val="20"/>
                <w:szCs w:val="20"/>
                <w:lang w:eastAsia="es-CR"/>
              </w:rPr>
              <w:t xml:space="preserve"> des personificación de las sentencias judiciales en donde estén involucradas personas en condición de vulnerabilidad. </w:t>
            </w:r>
          </w:p>
        </w:tc>
      </w:tr>
      <w:tr w:rsidR="00356493" w:rsidRPr="00266BAD" w14:paraId="51C882C9" w14:textId="77777777" w:rsidTr="00356493">
        <w:trPr>
          <w:trHeight w:val="1800"/>
        </w:trPr>
        <w:tc>
          <w:tcPr>
            <w:tcW w:w="1456" w:type="dxa"/>
            <w:shd w:val="clear" w:color="auto" w:fill="auto"/>
            <w:vAlign w:val="center"/>
            <w:hideMark/>
          </w:tcPr>
          <w:p w14:paraId="172B776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152-19</w:t>
            </w:r>
          </w:p>
        </w:tc>
        <w:tc>
          <w:tcPr>
            <w:tcW w:w="8175" w:type="dxa"/>
            <w:shd w:val="clear" w:color="auto" w:fill="auto"/>
            <w:hideMark/>
          </w:tcPr>
          <w:p w14:paraId="79912F1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8851-19 del Consejo Superior, copiando acuerdo de sesión 75-19 del 27 de agosto de 2019, artículo LVIII, sobre el informe remitido por la Dirección de Planificación mediante oficio 1270-PLA-ES-2019 sobre los secuestros extorsivos ocurridos en Costa Rica atendidos por el Organismo de Investigación Judicial durante el 2018. </w:t>
            </w:r>
          </w:p>
        </w:tc>
      </w:tr>
      <w:tr w:rsidR="00356493" w:rsidRPr="00266BAD" w14:paraId="42D1CBAC" w14:textId="77777777" w:rsidTr="00356493">
        <w:trPr>
          <w:trHeight w:val="1815"/>
        </w:trPr>
        <w:tc>
          <w:tcPr>
            <w:tcW w:w="1456" w:type="dxa"/>
            <w:shd w:val="clear" w:color="auto" w:fill="auto"/>
            <w:vAlign w:val="center"/>
            <w:hideMark/>
          </w:tcPr>
          <w:p w14:paraId="144E358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153-19</w:t>
            </w:r>
          </w:p>
        </w:tc>
        <w:tc>
          <w:tcPr>
            <w:tcW w:w="8175" w:type="dxa"/>
            <w:shd w:val="clear" w:color="auto" w:fill="auto"/>
            <w:hideMark/>
          </w:tcPr>
          <w:p w14:paraId="17696EF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1403-PLA-ES-2019 de la Dirección de Planificación, sobre los movimientos de trabajo de los Juzgado de Ejecución de la Penal durante el 2018 y el último quinquenio. </w:t>
            </w:r>
          </w:p>
        </w:tc>
      </w:tr>
      <w:tr w:rsidR="00356493" w:rsidRPr="00266BAD" w14:paraId="3304034F" w14:textId="77777777" w:rsidTr="00356493">
        <w:trPr>
          <w:trHeight w:val="1800"/>
        </w:trPr>
        <w:tc>
          <w:tcPr>
            <w:tcW w:w="1456" w:type="dxa"/>
            <w:shd w:val="clear" w:color="auto" w:fill="auto"/>
            <w:vAlign w:val="center"/>
            <w:hideMark/>
          </w:tcPr>
          <w:p w14:paraId="057F613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154-19</w:t>
            </w:r>
          </w:p>
        </w:tc>
        <w:tc>
          <w:tcPr>
            <w:tcW w:w="8175" w:type="dxa"/>
            <w:shd w:val="clear" w:color="auto" w:fill="auto"/>
            <w:hideMark/>
          </w:tcPr>
          <w:p w14:paraId="02C0A19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1405-PLA-ES-2019 de la Dirección de Planificación, sobre los movimientos de trabajo de los Juzgados Penales Juveniles durante el 2018</w:t>
            </w:r>
            <w:r>
              <w:rPr>
                <w:rFonts w:ascii="Cambria" w:eastAsia="Times New Roman" w:hAnsi="Cambria" w:cs="Calibri"/>
                <w:sz w:val="20"/>
                <w:szCs w:val="20"/>
                <w:lang w:eastAsia="es-CR"/>
              </w:rPr>
              <w:t>.</w:t>
            </w:r>
          </w:p>
        </w:tc>
      </w:tr>
      <w:tr w:rsidR="00356493" w:rsidRPr="00266BAD" w14:paraId="712129CD" w14:textId="77777777" w:rsidTr="00356493">
        <w:trPr>
          <w:trHeight w:val="1800"/>
        </w:trPr>
        <w:tc>
          <w:tcPr>
            <w:tcW w:w="1456" w:type="dxa"/>
            <w:shd w:val="clear" w:color="auto" w:fill="auto"/>
            <w:vAlign w:val="center"/>
            <w:hideMark/>
          </w:tcPr>
          <w:p w14:paraId="3BFFC54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159-19</w:t>
            </w:r>
          </w:p>
        </w:tc>
        <w:tc>
          <w:tcPr>
            <w:tcW w:w="8175" w:type="dxa"/>
            <w:shd w:val="clear" w:color="auto" w:fill="auto"/>
            <w:hideMark/>
          </w:tcPr>
          <w:p w14:paraId="5E40A5B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33-CSG-2019 de la Contraloría de Servicios del Segundo Circuito Judicial de San José, solicitando el criterio de la Comisión, sobre la recepción de denuncias por mensajes mortificantes donde el imputado es ignorado, y el competente de recibir dicha denuncia. </w:t>
            </w:r>
          </w:p>
        </w:tc>
      </w:tr>
      <w:tr w:rsidR="00356493" w:rsidRPr="00266BAD" w14:paraId="606656B8" w14:textId="77777777" w:rsidTr="00356493">
        <w:trPr>
          <w:trHeight w:val="1545"/>
        </w:trPr>
        <w:tc>
          <w:tcPr>
            <w:tcW w:w="1456" w:type="dxa"/>
            <w:shd w:val="clear" w:color="auto" w:fill="auto"/>
            <w:vAlign w:val="center"/>
            <w:hideMark/>
          </w:tcPr>
          <w:p w14:paraId="204D87A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160-19</w:t>
            </w:r>
          </w:p>
        </w:tc>
        <w:tc>
          <w:tcPr>
            <w:tcW w:w="8175" w:type="dxa"/>
            <w:shd w:val="clear" w:color="auto" w:fill="auto"/>
            <w:hideMark/>
          </w:tcPr>
          <w:p w14:paraId="5959AD9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1490-PLA-ES-2019 de la Dirección de Planificación, remitiendo informe relacionado con los movimientos de trabajo en las fiscalías penales juveniles durante el 2018 y el último quinquenio</w:t>
            </w:r>
            <w:r>
              <w:rPr>
                <w:rFonts w:ascii="Cambria" w:eastAsia="Times New Roman" w:hAnsi="Cambria" w:cs="Calibri"/>
                <w:sz w:val="20"/>
                <w:szCs w:val="20"/>
                <w:lang w:eastAsia="es-CR"/>
              </w:rPr>
              <w:t>.</w:t>
            </w:r>
          </w:p>
        </w:tc>
      </w:tr>
      <w:tr w:rsidR="00356493" w:rsidRPr="00266BAD" w14:paraId="3EC7FB0A" w14:textId="77777777" w:rsidTr="00356493">
        <w:trPr>
          <w:trHeight w:val="1800"/>
        </w:trPr>
        <w:tc>
          <w:tcPr>
            <w:tcW w:w="1456" w:type="dxa"/>
            <w:shd w:val="clear" w:color="auto" w:fill="auto"/>
            <w:vAlign w:val="center"/>
            <w:hideMark/>
          </w:tcPr>
          <w:p w14:paraId="5119C64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161-19</w:t>
            </w:r>
          </w:p>
        </w:tc>
        <w:tc>
          <w:tcPr>
            <w:tcW w:w="8175" w:type="dxa"/>
            <w:shd w:val="clear" w:color="auto" w:fill="auto"/>
            <w:hideMark/>
          </w:tcPr>
          <w:p w14:paraId="64D79DA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9426-19 del Consejo Superior, comunicando acuerdo de sesión 80-19 del 12 de setiembre de 2019, artículo LIX, sobre el oficio número 1354-PLA-ES-2019 de la Dirección de Planificación, sobre los movimientos ocurridos para la temática de personas fallecidas en Costa Rica por suicidios durante el 2018. </w:t>
            </w:r>
          </w:p>
        </w:tc>
      </w:tr>
      <w:tr w:rsidR="00356493" w:rsidRPr="00266BAD" w14:paraId="5069AA96" w14:textId="77777777" w:rsidTr="00356493">
        <w:trPr>
          <w:trHeight w:val="1800"/>
        </w:trPr>
        <w:tc>
          <w:tcPr>
            <w:tcW w:w="1456" w:type="dxa"/>
            <w:shd w:val="clear" w:color="auto" w:fill="auto"/>
            <w:vAlign w:val="center"/>
            <w:hideMark/>
          </w:tcPr>
          <w:p w14:paraId="18F693A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163-19</w:t>
            </w:r>
          </w:p>
        </w:tc>
        <w:tc>
          <w:tcPr>
            <w:tcW w:w="8175" w:type="dxa"/>
            <w:shd w:val="clear" w:color="auto" w:fill="auto"/>
            <w:hideMark/>
          </w:tcPr>
          <w:p w14:paraId="468AA85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9614-19 del Consejo Superior, comunicando acuerdo de sesión 81-19 del 17 de setiembre de 2019, artículo LXXXVIII, sobre el oficio DP-567-2019 del Despacho de la Presidencia, sobre la visita realizada por el Tribunal de la Inspección Judicial al Tribunal de Juicio del Primer Circuito Judicial de la Zona Atlántica, (Consulta 100-19). </w:t>
            </w:r>
          </w:p>
        </w:tc>
      </w:tr>
      <w:tr w:rsidR="00356493" w:rsidRPr="00266BAD" w14:paraId="24941A16" w14:textId="77777777" w:rsidTr="00356493">
        <w:trPr>
          <w:trHeight w:val="1800"/>
        </w:trPr>
        <w:tc>
          <w:tcPr>
            <w:tcW w:w="1456" w:type="dxa"/>
            <w:shd w:val="clear" w:color="auto" w:fill="auto"/>
            <w:vAlign w:val="center"/>
            <w:hideMark/>
          </w:tcPr>
          <w:p w14:paraId="00C21C2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165-19</w:t>
            </w:r>
          </w:p>
        </w:tc>
        <w:tc>
          <w:tcPr>
            <w:tcW w:w="8175" w:type="dxa"/>
            <w:shd w:val="clear" w:color="auto" w:fill="auto"/>
            <w:hideMark/>
          </w:tcPr>
          <w:p w14:paraId="31BFC27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9697-19 del Consejo Superior, comunicando acuerdo de sesión 82-19 del 19 de setiembre de 2019, artículo LXXIII, sobre el oficio 1264-PLA-2019 de la Dirección de Planificación sobre el movimiento de trabajo de las Fiscalías Penales durante el 2018 y el último quinquenio. </w:t>
            </w:r>
          </w:p>
        </w:tc>
      </w:tr>
      <w:tr w:rsidR="00356493" w:rsidRPr="00266BAD" w14:paraId="0A97EEA8" w14:textId="77777777" w:rsidTr="00356493">
        <w:trPr>
          <w:trHeight w:val="1800"/>
        </w:trPr>
        <w:tc>
          <w:tcPr>
            <w:tcW w:w="1456" w:type="dxa"/>
            <w:shd w:val="clear" w:color="auto" w:fill="auto"/>
            <w:vAlign w:val="center"/>
            <w:hideMark/>
          </w:tcPr>
          <w:p w14:paraId="60B98E9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166-19</w:t>
            </w:r>
          </w:p>
        </w:tc>
        <w:tc>
          <w:tcPr>
            <w:tcW w:w="8175" w:type="dxa"/>
            <w:shd w:val="clear" w:color="auto" w:fill="auto"/>
            <w:hideMark/>
          </w:tcPr>
          <w:p w14:paraId="499F980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1570-PLA-ES-2019 de la Dirección de Planificación, comunicando informe relacionado con los principales resultados obtenidos del análisis de las personas detenidas a la orden de los Juzgados y Tribunales Penales del país al finalizar el 2018. </w:t>
            </w:r>
          </w:p>
        </w:tc>
      </w:tr>
      <w:tr w:rsidR="00356493" w:rsidRPr="00266BAD" w14:paraId="50C4D25B" w14:textId="77777777" w:rsidTr="00356493">
        <w:trPr>
          <w:trHeight w:val="2115"/>
        </w:trPr>
        <w:tc>
          <w:tcPr>
            <w:tcW w:w="1456" w:type="dxa"/>
            <w:shd w:val="clear" w:color="auto" w:fill="auto"/>
            <w:vAlign w:val="center"/>
            <w:hideMark/>
          </w:tcPr>
          <w:p w14:paraId="01AB59A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168-19</w:t>
            </w:r>
          </w:p>
        </w:tc>
        <w:tc>
          <w:tcPr>
            <w:tcW w:w="8175" w:type="dxa"/>
            <w:shd w:val="clear" w:color="auto" w:fill="auto"/>
            <w:hideMark/>
          </w:tcPr>
          <w:p w14:paraId="259B457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1573-PLA-OI-2019 de la Dirección de Planificación, relacionado con el estudio para la modificación de las plantillas de los formularios de Denuncia Genérica (FIORDI001), Denuncia de Delitos de Penalización de Violencia Contra las Mujeres, Denuncia de delitos Sexuales en Perjuicio de Persona Mayor de Edad (FVORDI001), Denuncia de Persona Menor de Edad (de 12 años de edad a menos de 18) y Denuncia de Persona Menor de edad, dan 22 días naturales, vence el 18-10-2019. </w:t>
            </w:r>
          </w:p>
        </w:tc>
      </w:tr>
      <w:tr w:rsidR="00356493" w:rsidRPr="00266BAD" w14:paraId="2A1679DD" w14:textId="77777777" w:rsidTr="00356493">
        <w:trPr>
          <w:trHeight w:val="1800"/>
        </w:trPr>
        <w:tc>
          <w:tcPr>
            <w:tcW w:w="1456" w:type="dxa"/>
            <w:shd w:val="clear" w:color="auto" w:fill="auto"/>
            <w:vAlign w:val="center"/>
            <w:hideMark/>
          </w:tcPr>
          <w:p w14:paraId="29C6BBA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169-19</w:t>
            </w:r>
          </w:p>
        </w:tc>
        <w:tc>
          <w:tcPr>
            <w:tcW w:w="8175" w:type="dxa"/>
            <w:shd w:val="clear" w:color="auto" w:fill="auto"/>
            <w:hideMark/>
          </w:tcPr>
          <w:p w14:paraId="481A0AA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9870-19 del Consejo Superior, comunicando acuerdo de sesión 81-2019, del 17 de setiembre de 2019, artículo XIII, sobre informe de visita de la Inspección Judicial al Juzgado Mixto de Sarapiquí, los días 18 y 19 de diciembre de 2017</w:t>
            </w:r>
            <w:r>
              <w:rPr>
                <w:rFonts w:ascii="Cambria" w:eastAsia="Times New Roman" w:hAnsi="Cambria" w:cs="Calibri"/>
                <w:sz w:val="20"/>
                <w:szCs w:val="20"/>
                <w:lang w:eastAsia="es-CR"/>
              </w:rPr>
              <w:t>.</w:t>
            </w:r>
          </w:p>
        </w:tc>
      </w:tr>
      <w:tr w:rsidR="00356493" w:rsidRPr="00266BAD" w14:paraId="2EDBCBF8" w14:textId="77777777" w:rsidTr="00356493">
        <w:trPr>
          <w:trHeight w:val="1800"/>
        </w:trPr>
        <w:tc>
          <w:tcPr>
            <w:tcW w:w="1456" w:type="dxa"/>
            <w:shd w:val="clear" w:color="auto" w:fill="auto"/>
            <w:vAlign w:val="center"/>
            <w:hideMark/>
          </w:tcPr>
          <w:p w14:paraId="3B4DCFA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171-19</w:t>
            </w:r>
          </w:p>
        </w:tc>
        <w:tc>
          <w:tcPr>
            <w:tcW w:w="8175" w:type="dxa"/>
            <w:shd w:val="clear" w:color="auto" w:fill="auto"/>
            <w:hideMark/>
          </w:tcPr>
          <w:p w14:paraId="3325091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10018-19 del Consejo Superior, copiando acuerdo de sesión 84-19 del pasado 26 de setiembre de 2019, artículo LXXVII, sobre el oficio 870-PLA-OI-2019 de la Dirección de Planificación relativo al guía para la estandarización y definición de apuntes en Agenda Cronos para la materia penal 2018, atendido mediante oficio de esta Comisión CJP156-18. </w:t>
            </w:r>
          </w:p>
        </w:tc>
      </w:tr>
      <w:tr w:rsidR="00356493" w:rsidRPr="00266BAD" w14:paraId="25674566" w14:textId="77777777" w:rsidTr="00356493">
        <w:trPr>
          <w:trHeight w:val="2115"/>
        </w:trPr>
        <w:tc>
          <w:tcPr>
            <w:tcW w:w="1456" w:type="dxa"/>
            <w:shd w:val="clear" w:color="auto" w:fill="auto"/>
            <w:vAlign w:val="center"/>
            <w:hideMark/>
          </w:tcPr>
          <w:p w14:paraId="412CBD8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172-19</w:t>
            </w:r>
          </w:p>
        </w:tc>
        <w:tc>
          <w:tcPr>
            <w:tcW w:w="8175" w:type="dxa"/>
            <w:shd w:val="clear" w:color="auto" w:fill="auto"/>
            <w:hideMark/>
          </w:tcPr>
          <w:p w14:paraId="6C7025C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1659-PLA-OI-2019 de la Dirección de Planificación, comunicando sobre oficio 5230-19 del Consejo Superior, relacionado al modelo penal para el Juzgado Penal de Pavas</w:t>
            </w:r>
            <w:r>
              <w:rPr>
                <w:rFonts w:ascii="Cambria" w:eastAsia="Times New Roman" w:hAnsi="Cambria" w:cs="Calibri"/>
                <w:sz w:val="20"/>
                <w:szCs w:val="20"/>
                <w:lang w:eastAsia="es-CR"/>
              </w:rPr>
              <w:t>.</w:t>
            </w:r>
          </w:p>
        </w:tc>
      </w:tr>
      <w:tr w:rsidR="00356493" w:rsidRPr="00266BAD" w14:paraId="51E988E4" w14:textId="77777777" w:rsidTr="00356493">
        <w:trPr>
          <w:trHeight w:val="2115"/>
        </w:trPr>
        <w:tc>
          <w:tcPr>
            <w:tcW w:w="1456" w:type="dxa"/>
            <w:shd w:val="clear" w:color="auto" w:fill="auto"/>
            <w:vAlign w:val="center"/>
            <w:hideMark/>
          </w:tcPr>
          <w:p w14:paraId="05DE33B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173-19</w:t>
            </w:r>
          </w:p>
        </w:tc>
        <w:tc>
          <w:tcPr>
            <w:tcW w:w="8175" w:type="dxa"/>
            <w:shd w:val="clear" w:color="auto" w:fill="auto"/>
            <w:hideMark/>
          </w:tcPr>
          <w:p w14:paraId="3873EA1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1676-PLA-OI-2019 de la Dirección de Planificación, comunicando rediseño de procesos del Tribunal Penal de Sarapiquí como parte de la mejora integral del proceso penal</w:t>
            </w:r>
            <w:r>
              <w:rPr>
                <w:rFonts w:ascii="Cambria" w:eastAsia="Times New Roman" w:hAnsi="Cambria" w:cs="Calibri"/>
                <w:sz w:val="20"/>
                <w:szCs w:val="20"/>
                <w:lang w:eastAsia="es-CR"/>
              </w:rPr>
              <w:t>.</w:t>
            </w:r>
          </w:p>
        </w:tc>
      </w:tr>
      <w:tr w:rsidR="00356493" w:rsidRPr="00266BAD" w14:paraId="5407A632" w14:textId="77777777" w:rsidTr="00356493">
        <w:trPr>
          <w:trHeight w:val="1815"/>
        </w:trPr>
        <w:tc>
          <w:tcPr>
            <w:tcW w:w="1456" w:type="dxa"/>
            <w:shd w:val="clear" w:color="auto" w:fill="auto"/>
            <w:vAlign w:val="center"/>
            <w:hideMark/>
          </w:tcPr>
          <w:p w14:paraId="073586A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174-19</w:t>
            </w:r>
          </w:p>
        </w:tc>
        <w:tc>
          <w:tcPr>
            <w:tcW w:w="8175" w:type="dxa"/>
            <w:shd w:val="clear" w:color="auto" w:fill="auto"/>
            <w:hideMark/>
          </w:tcPr>
          <w:p w14:paraId="2B7C20E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1683-PLA-OI-2019 de la Dirección de Planificación, comunicando rediseño de procesos del Tribunal Penal de Heredia</w:t>
            </w:r>
            <w:r>
              <w:rPr>
                <w:rFonts w:ascii="Cambria" w:eastAsia="Times New Roman" w:hAnsi="Cambria" w:cs="Calibri"/>
                <w:sz w:val="20"/>
                <w:szCs w:val="20"/>
                <w:lang w:eastAsia="es-CR"/>
              </w:rPr>
              <w:t>.</w:t>
            </w:r>
          </w:p>
        </w:tc>
      </w:tr>
      <w:tr w:rsidR="00356493" w:rsidRPr="00266BAD" w14:paraId="2F75D3D9" w14:textId="77777777" w:rsidTr="00356493">
        <w:trPr>
          <w:trHeight w:val="3585"/>
        </w:trPr>
        <w:tc>
          <w:tcPr>
            <w:tcW w:w="1456" w:type="dxa"/>
            <w:shd w:val="clear" w:color="auto" w:fill="auto"/>
            <w:vAlign w:val="center"/>
            <w:hideMark/>
          </w:tcPr>
          <w:p w14:paraId="447FA94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175-19</w:t>
            </w:r>
          </w:p>
        </w:tc>
        <w:tc>
          <w:tcPr>
            <w:tcW w:w="8175" w:type="dxa"/>
            <w:shd w:val="clear" w:color="auto" w:fill="auto"/>
            <w:hideMark/>
          </w:tcPr>
          <w:p w14:paraId="708EC05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10395-19 del Consejo Superior, sobre acuerdo de sesión número 86-19 del 03 de octubre de 2019, artículo XXVI, sobre el oficio </w:t>
            </w:r>
            <w:proofErr w:type="spellStart"/>
            <w:r w:rsidRPr="00266BAD">
              <w:rPr>
                <w:rFonts w:ascii="Cambria" w:eastAsia="Times New Roman" w:hAnsi="Cambria" w:cs="Calibri"/>
                <w:sz w:val="20"/>
                <w:szCs w:val="20"/>
                <w:lang w:eastAsia="es-CR"/>
              </w:rPr>
              <w:t>nº</w:t>
            </w:r>
            <w:proofErr w:type="spellEnd"/>
            <w:r w:rsidRPr="00266BAD">
              <w:rPr>
                <w:rFonts w:ascii="Cambria" w:eastAsia="Times New Roman" w:hAnsi="Cambria" w:cs="Calibri"/>
                <w:sz w:val="20"/>
                <w:szCs w:val="20"/>
                <w:lang w:eastAsia="es-CR"/>
              </w:rPr>
              <w:t xml:space="preserve"> MJP-621-09-2019 de la señora Marcia González Aguiluz, Ministra de Justicia y Paz, sobre la preocupación en relación con los excesivos tiempos de respuesta de algunos jueces en relación con los informes y solicitudes de revocatoria del monitoreo electrónico en personas indiciadas y sentenciadas. Piden el criterio de la Comisión. </w:t>
            </w:r>
          </w:p>
        </w:tc>
      </w:tr>
      <w:tr w:rsidR="00356493" w:rsidRPr="00266BAD" w14:paraId="7AF949B4" w14:textId="77777777" w:rsidTr="00356493">
        <w:trPr>
          <w:trHeight w:val="1800"/>
        </w:trPr>
        <w:tc>
          <w:tcPr>
            <w:tcW w:w="1456" w:type="dxa"/>
            <w:shd w:val="clear" w:color="auto" w:fill="auto"/>
            <w:vAlign w:val="center"/>
            <w:hideMark/>
          </w:tcPr>
          <w:p w14:paraId="564D0A9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177-19</w:t>
            </w:r>
          </w:p>
        </w:tc>
        <w:tc>
          <w:tcPr>
            <w:tcW w:w="8175" w:type="dxa"/>
            <w:shd w:val="clear" w:color="auto" w:fill="auto"/>
            <w:hideMark/>
          </w:tcPr>
          <w:p w14:paraId="649D209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1707-PLA-OI-MI-2019 de la Dirección de Planificación, sobre la falta de personal en la Fiscalía para cubrir la gran cantidad de señalamientos del Tribunal Penal y Juzgado Penal de Pococí</w:t>
            </w:r>
            <w:r>
              <w:rPr>
                <w:rFonts w:ascii="Cambria" w:eastAsia="Times New Roman" w:hAnsi="Cambria" w:cs="Calibri"/>
                <w:sz w:val="20"/>
                <w:szCs w:val="20"/>
                <w:lang w:eastAsia="es-CR"/>
              </w:rPr>
              <w:t>.</w:t>
            </w:r>
          </w:p>
        </w:tc>
      </w:tr>
      <w:tr w:rsidR="00356493" w:rsidRPr="00266BAD" w14:paraId="041F84CF" w14:textId="77777777" w:rsidTr="00356493">
        <w:trPr>
          <w:trHeight w:val="1800"/>
        </w:trPr>
        <w:tc>
          <w:tcPr>
            <w:tcW w:w="1456" w:type="dxa"/>
            <w:shd w:val="clear" w:color="auto" w:fill="auto"/>
            <w:vAlign w:val="center"/>
            <w:hideMark/>
          </w:tcPr>
          <w:p w14:paraId="488D655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178-19</w:t>
            </w:r>
          </w:p>
        </w:tc>
        <w:tc>
          <w:tcPr>
            <w:tcW w:w="8175" w:type="dxa"/>
            <w:shd w:val="clear" w:color="auto" w:fill="auto"/>
            <w:hideMark/>
          </w:tcPr>
          <w:p w14:paraId="7375AA9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CACC-340-2019 de la Subcomisión de Acceso a la Justicia Persona con Discapacidad, haciendo de conocimiento el acuerdo de la sesión celebrada el pasado 10 de setiembre de 2019, donde atendió el oficio DE-939-2019, solicitando desarrollar de forma conjunta que faciliten los procesos de inclusión de la población con discapacidad. Donde se acordó conformar un equipo para preparar una propuesta de protocolo ajustada al Poder Judicial en colaboración y asesoría del CONAPDIS. </w:t>
            </w:r>
          </w:p>
        </w:tc>
      </w:tr>
      <w:tr w:rsidR="00356493" w:rsidRPr="00266BAD" w14:paraId="2FD236C6" w14:textId="77777777" w:rsidTr="00356493">
        <w:trPr>
          <w:trHeight w:val="2115"/>
        </w:trPr>
        <w:tc>
          <w:tcPr>
            <w:tcW w:w="1456" w:type="dxa"/>
            <w:shd w:val="clear" w:color="auto" w:fill="auto"/>
            <w:vAlign w:val="center"/>
            <w:hideMark/>
          </w:tcPr>
          <w:p w14:paraId="4836B42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181-19</w:t>
            </w:r>
          </w:p>
        </w:tc>
        <w:tc>
          <w:tcPr>
            <w:tcW w:w="8175" w:type="dxa"/>
            <w:shd w:val="clear" w:color="auto" w:fill="auto"/>
            <w:hideMark/>
          </w:tcPr>
          <w:p w14:paraId="75AAAD9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10740-19 de Corte Plena, comunicando acuerdo de sesión 40-19, del 23 de setiembre de 2019, artículo XXII, sobre “Acciones para mejorar los resultados de la gestión del Centro de Conciliación del Poder Judicial y sus Sedes Regionales”</w:t>
            </w:r>
            <w:r>
              <w:rPr>
                <w:rFonts w:ascii="Cambria" w:eastAsia="Times New Roman" w:hAnsi="Cambria" w:cs="Calibri"/>
                <w:sz w:val="20"/>
                <w:szCs w:val="20"/>
                <w:lang w:eastAsia="es-CR"/>
              </w:rPr>
              <w:t>.</w:t>
            </w:r>
          </w:p>
        </w:tc>
      </w:tr>
      <w:tr w:rsidR="00356493" w:rsidRPr="00266BAD" w14:paraId="5F9769B3" w14:textId="77777777" w:rsidTr="00356493">
        <w:trPr>
          <w:trHeight w:val="1800"/>
        </w:trPr>
        <w:tc>
          <w:tcPr>
            <w:tcW w:w="1456" w:type="dxa"/>
            <w:shd w:val="clear" w:color="auto" w:fill="auto"/>
            <w:vAlign w:val="center"/>
            <w:hideMark/>
          </w:tcPr>
          <w:p w14:paraId="2E8C175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182-19</w:t>
            </w:r>
          </w:p>
        </w:tc>
        <w:tc>
          <w:tcPr>
            <w:tcW w:w="8175" w:type="dxa"/>
            <w:shd w:val="clear" w:color="auto" w:fill="auto"/>
            <w:hideMark/>
          </w:tcPr>
          <w:p w14:paraId="4F67E3B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11231-19 del Consejo Superior, comunicando acuerdo de sesión 87-19 del 8 de octubre de 2019, artículo XXVIII, sobre gestión del señor Arcelio Hernández </w:t>
            </w:r>
            <w:proofErr w:type="spellStart"/>
            <w:r w:rsidRPr="00266BAD">
              <w:rPr>
                <w:rFonts w:ascii="Cambria" w:eastAsia="Times New Roman" w:hAnsi="Cambria" w:cs="Calibri"/>
                <w:sz w:val="20"/>
                <w:szCs w:val="20"/>
                <w:lang w:eastAsia="es-CR"/>
              </w:rPr>
              <w:t>Mussio</w:t>
            </w:r>
            <w:proofErr w:type="spellEnd"/>
            <w:r w:rsidRPr="00266BAD">
              <w:rPr>
                <w:rFonts w:ascii="Cambria" w:eastAsia="Times New Roman" w:hAnsi="Cambria" w:cs="Calibri"/>
                <w:sz w:val="20"/>
                <w:szCs w:val="20"/>
                <w:lang w:eastAsia="es-CR"/>
              </w:rPr>
              <w:t>, sobre monitoreo electrónico, se copia a la Comisión</w:t>
            </w:r>
            <w:r>
              <w:rPr>
                <w:rFonts w:ascii="Cambria" w:eastAsia="Times New Roman" w:hAnsi="Cambria" w:cs="Calibri"/>
                <w:sz w:val="20"/>
                <w:szCs w:val="20"/>
                <w:lang w:eastAsia="es-CR"/>
              </w:rPr>
              <w:t>.</w:t>
            </w:r>
          </w:p>
        </w:tc>
      </w:tr>
      <w:tr w:rsidR="00356493" w:rsidRPr="00266BAD" w14:paraId="41F45BEA" w14:textId="77777777" w:rsidTr="00356493">
        <w:trPr>
          <w:trHeight w:val="1800"/>
        </w:trPr>
        <w:tc>
          <w:tcPr>
            <w:tcW w:w="1456" w:type="dxa"/>
            <w:shd w:val="clear" w:color="auto" w:fill="auto"/>
            <w:vAlign w:val="center"/>
            <w:hideMark/>
          </w:tcPr>
          <w:p w14:paraId="4EBED4C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188-19</w:t>
            </w:r>
          </w:p>
        </w:tc>
        <w:tc>
          <w:tcPr>
            <w:tcW w:w="8175" w:type="dxa"/>
            <w:shd w:val="clear" w:color="auto" w:fill="auto"/>
            <w:hideMark/>
          </w:tcPr>
          <w:p w14:paraId="09F61E4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434-CACMFJ-JEF-2019, del Centro de Apoyo, Coordinación y Mejoramiento de la Función Jurisdiccional, mediante el cual trasladan al consejo Superior el criterio </w:t>
            </w:r>
            <w:proofErr w:type="gramStart"/>
            <w:r w:rsidRPr="00266BAD">
              <w:rPr>
                <w:rFonts w:ascii="Cambria" w:eastAsia="Times New Roman" w:hAnsi="Cambria" w:cs="Calibri"/>
                <w:sz w:val="20"/>
                <w:szCs w:val="20"/>
                <w:lang w:eastAsia="es-CR"/>
              </w:rPr>
              <w:t>al  respecto</w:t>
            </w:r>
            <w:proofErr w:type="gramEnd"/>
            <w:r w:rsidRPr="00266BAD">
              <w:rPr>
                <w:rFonts w:ascii="Cambria" w:eastAsia="Times New Roman" w:hAnsi="Cambria" w:cs="Calibri"/>
                <w:sz w:val="20"/>
                <w:szCs w:val="20"/>
                <w:lang w:eastAsia="es-CR"/>
              </w:rPr>
              <w:t xml:space="preserve"> de establecer un procedimiento formal a nivel institucional para la revisión de permisos y cuentas de acceso al Sistema de Obligados a Pensión Alimentaria (SOAP)</w:t>
            </w:r>
            <w:r>
              <w:rPr>
                <w:rFonts w:ascii="Cambria" w:eastAsia="Times New Roman" w:hAnsi="Cambria" w:cs="Calibri"/>
                <w:sz w:val="20"/>
                <w:szCs w:val="20"/>
                <w:lang w:eastAsia="es-CR"/>
              </w:rPr>
              <w:t>.</w:t>
            </w:r>
          </w:p>
        </w:tc>
      </w:tr>
      <w:tr w:rsidR="00356493" w:rsidRPr="00266BAD" w14:paraId="709B78E0" w14:textId="77777777" w:rsidTr="00356493">
        <w:trPr>
          <w:trHeight w:val="1800"/>
        </w:trPr>
        <w:tc>
          <w:tcPr>
            <w:tcW w:w="1456" w:type="dxa"/>
            <w:shd w:val="clear" w:color="auto" w:fill="auto"/>
            <w:vAlign w:val="center"/>
            <w:hideMark/>
          </w:tcPr>
          <w:p w14:paraId="5676FCD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189-19</w:t>
            </w:r>
          </w:p>
        </w:tc>
        <w:tc>
          <w:tcPr>
            <w:tcW w:w="8175" w:type="dxa"/>
            <w:shd w:val="clear" w:color="auto" w:fill="auto"/>
            <w:hideMark/>
          </w:tcPr>
          <w:p w14:paraId="2DCEC65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1820-PLA-MI-2019, de la Dirección de Planificación copiando el informe relacionado al ajuste realizado a las matrices de los Juzgados Contravencionales a raíz de la entrada en vigencia del nuevo Código Procesal Civil</w:t>
            </w:r>
            <w:r>
              <w:rPr>
                <w:rFonts w:ascii="Cambria" w:eastAsia="Times New Roman" w:hAnsi="Cambria" w:cs="Calibri"/>
                <w:sz w:val="20"/>
                <w:szCs w:val="20"/>
                <w:lang w:eastAsia="es-CR"/>
              </w:rPr>
              <w:t>.</w:t>
            </w:r>
          </w:p>
        </w:tc>
      </w:tr>
      <w:tr w:rsidR="00356493" w:rsidRPr="00266BAD" w14:paraId="03751329" w14:textId="77777777" w:rsidTr="00356493">
        <w:trPr>
          <w:trHeight w:val="1545"/>
        </w:trPr>
        <w:tc>
          <w:tcPr>
            <w:tcW w:w="1456" w:type="dxa"/>
            <w:shd w:val="clear" w:color="auto" w:fill="auto"/>
            <w:vAlign w:val="center"/>
            <w:hideMark/>
          </w:tcPr>
          <w:p w14:paraId="17792CF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190-19</w:t>
            </w:r>
          </w:p>
        </w:tc>
        <w:tc>
          <w:tcPr>
            <w:tcW w:w="8175" w:type="dxa"/>
            <w:shd w:val="clear" w:color="auto" w:fill="auto"/>
            <w:hideMark/>
          </w:tcPr>
          <w:p w14:paraId="1EBE3E9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1235-DG-2019, del Organismo de Investigación Judicial, relacionado con el oficio 9351-19 (Consulta 117-19), sobre las cargas de trabajo en el Juzgado Contravencional del Primer Circuito Judicial de San José, propiamente en cuanto al atraso en los objetos decomisados, ubicados en el Complejo de Ciencias Forenses en San Joaquín de Flores. </w:t>
            </w:r>
          </w:p>
        </w:tc>
      </w:tr>
      <w:tr w:rsidR="00356493" w:rsidRPr="00266BAD" w14:paraId="23A1E5D0" w14:textId="77777777" w:rsidTr="00356493">
        <w:trPr>
          <w:trHeight w:val="1545"/>
        </w:trPr>
        <w:tc>
          <w:tcPr>
            <w:tcW w:w="1456" w:type="dxa"/>
            <w:shd w:val="clear" w:color="auto" w:fill="auto"/>
            <w:vAlign w:val="center"/>
            <w:hideMark/>
          </w:tcPr>
          <w:p w14:paraId="3D6CC49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193-19</w:t>
            </w:r>
          </w:p>
        </w:tc>
        <w:tc>
          <w:tcPr>
            <w:tcW w:w="8175" w:type="dxa"/>
            <w:shd w:val="clear" w:color="auto" w:fill="auto"/>
            <w:hideMark/>
          </w:tcPr>
          <w:p w14:paraId="10BFA82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del señor Freddy Calderón Chaves, de fecha 18 de noviembre de 2019, sobre consulta al Consejo Superior al respecto del nombramiento por inopia de jueces categoría 4</w:t>
            </w:r>
            <w:r>
              <w:rPr>
                <w:rFonts w:ascii="Cambria" w:eastAsia="Times New Roman" w:hAnsi="Cambria" w:cs="Calibri"/>
                <w:sz w:val="20"/>
                <w:szCs w:val="20"/>
                <w:lang w:eastAsia="es-CR"/>
              </w:rPr>
              <w:t>.</w:t>
            </w:r>
          </w:p>
        </w:tc>
      </w:tr>
      <w:tr w:rsidR="00356493" w:rsidRPr="00266BAD" w14:paraId="151B2F68" w14:textId="77777777" w:rsidTr="00356493">
        <w:trPr>
          <w:trHeight w:val="1800"/>
        </w:trPr>
        <w:tc>
          <w:tcPr>
            <w:tcW w:w="1456" w:type="dxa"/>
            <w:shd w:val="clear" w:color="auto" w:fill="auto"/>
            <w:vAlign w:val="center"/>
            <w:hideMark/>
          </w:tcPr>
          <w:p w14:paraId="14FA1EA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194-19</w:t>
            </w:r>
          </w:p>
        </w:tc>
        <w:tc>
          <w:tcPr>
            <w:tcW w:w="8175" w:type="dxa"/>
            <w:shd w:val="clear" w:color="auto" w:fill="auto"/>
            <w:hideMark/>
          </w:tcPr>
          <w:p w14:paraId="5A76A81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12088-19 del Consejo Superior, comunicando acuerdo de sesión 99-19 del pasado 12 de noviembre de 2019, artículo XCVI, sobre oficio CJP057-2019, relativo al informe 1347-PLA-2018, "Procedimiento para la grabación de audiencias orales"</w:t>
            </w:r>
            <w:r>
              <w:rPr>
                <w:rFonts w:ascii="Cambria" w:eastAsia="Times New Roman" w:hAnsi="Cambria" w:cs="Calibri"/>
                <w:sz w:val="20"/>
                <w:szCs w:val="20"/>
                <w:lang w:eastAsia="es-CR"/>
              </w:rPr>
              <w:t>.</w:t>
            </w:r>
          </w:p>
        </w:tc>
      </w:tr>
      <w:tr w:rsidR="00356493" w:rsidRPr="00266BAD" w14:paraId="03551D06" w14:textId="77777777" w:rsidTr="00356493">
        <w:trPr>
          <w:trHeight w:val="1800"/>
        </w:trPr>
        <w:tc>
          <w:tcPr>
            <w:tcW w:w="1456" w:type="dxa"/>
            <w:shd w:val="clear" w:color="auto" w:fill="auto"/>
            <w:vAlign w:val="center"/>
            <w:hideMark/>
          </w:tcPr>
          <w:p w14:paraId="4EF6735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195-19</w:t>
            </w:r>
          </w:p>
        </w:tc>
        <w:tc>
          <w:tcPr>
            <w:tcW w:w="8175" w:type="dxa"/>
            <w:shd w:val="clear" w:color="auto" w:fill="auto"/>
            <w:hideMark/>
          </w:tcPr>
          <w:p w14:paraId="5FB379D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1284-DG-2019/Ref.1447-2019 de la Dirección General del Organismo de Investigación Judicial, solicitando el criterio de la Comisión sobre la reforma del 2016, a la Ley de Archivo y Registro Judicial, que modifico la manera en que debe computarse las anotaciones de juzgamientos</w:t>
            </w:r>
            <w:r>
              <w:rPr>
                <w:rFonts w:ascii="Cambria" w:eastAsia="Times New Roman" w:hAnsi="Cambria" w:cs="Calibri"/>
                <w:sz w:val="20"/>
                <w:szCs w:val="20"/>
                <w:lang w:eastAsia="es-CR"/>
              </w:rPr>
              <w:t>.</w:t>
            </w:r>
          </w:p>
        </w:tc>
      </w:tr>
      <w:tr w:rsidR="00356493" w:rsidRPr="00266BAD" w14:paraId="75146C4A" w14:textId="77777777" w:rsidTr="00356493">
        <w:trPr>
          <w:trHeight w:val="2115"/>
        </w:trPr>
        <w:tc>
          <w:tcPr>
            <w:tcW w:w="1456" w:type="dxa"/>
            <w:shd w:val="clear" w:color="auto" w:fill="auto"/>
            <w:vAlign w:val="center"/>
            <w:hideMark/>
          </w:tcPr>
          <w:p w14:paraId="7347175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196-19</w:t>
            </w:r>
          </w:p>
        </w:tc>
        <w:tc>
          <w:tcPr>
            <w:tcW w:w="8175" w:type="dxa"/>
            <w:shd w:val="clear" w:color="auto" w:fill="auto"/>
            <w:hideMark/>
          </w:tcPr>
          <w:p w14:paraId="09574C3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1946-PLA-OI-2019, de la Dirección de Planificación relativo al rediseño del proceso penal por medio de nuevas tecnologías, del Juzgado Penal de Cañas</w:t>
            </w:r>
            <w:r>
              <w:rPr>
                <w:rFonts w:ascii="Cambria" w:eastAsia="Times New Roman" w:hAnsi="Cambria" w:cs="Calibri"/>
                <w:sz w:val="20"/>
                <w:szCs w:val="20"/>
                <w:lang w:eastAsia="es-CR"/>
              </w:rPr>
              <w:t>.</w:t>
            </w:r>
          </w:p>
        </w:tc>
      </w:tr>
      <w:tr w:rsidR="00356493" w:rsidRPr="00266BAD" w14:paraId="4A0D21EA" w14:textId="77777777" w:rsidTr="00356493">
        <w:trPr>
          <w:trHeight w:val="1815"/>
        </w:trPr>
        <w:tc>
          <w:tcPr>
            <w:tcW w:w="1456" w:type="dxa"/>
            <w:shd w:val="clear" w:color="auto" w:fill="auto"/>
            <w:vAlign w:val="center"/>
            <w:hideMark/>
          </w:tcPr>
          <w:p w14:paraId="2B8B529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198-19</w:t>
            </w:r>
          </w:p>
        </w:tc>
        <w:tc>
          <w:tcPr>
            <w:tcW w:w="8175" w:type="dxa"/>
            <w:shd w:val="clear" w:color="auto" w:fill="auto"/>
            <w:hideMark/>
          </w:tcPr>
          <w:p w14:paraId="1AEB259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1953-PLA-OI-2019 de la Dirección de Planificación, remitiendo el informe relacionado con el Rediseño de Procesos del Juzgado Penal de San Joaquín de Flores</w:t>
            </w:r>
            <w:r>
              <w:rPr>
                <w:rFonts w:ascii="Cambria" w:eastAsia="Times New Roman" w:hAnsi="Cambria" w:cs="Calibri"/>
                <w:sz w:val="20"/>
                <w:szCs w:val="20"/>
                <w:lang w:eastAsia="es-CR"/>
              </w:rPr>
              <w:t>.</w:t>
            </w:r>
          </w:p>
        </w:tc>
      </w:tr>
      <w:tr w:rsidR="00356493" w:rsidRPr="00266BAD" w14:paraId="12843408" w14:textId="77777777" w:rsidTr="00356493">
        <w:trPr>
          <w:trHeight w:val="2115"/>
        </w:trPr>
        <w:tc>
          <w:tcPr>
            <w:tcW w:w="1456" w:type="dxa"/>
            <w:shd w:val="clear" w:color="auto" w:fill="auto"/>
            <w:vAlign w:val="center"/>
            <w:hideMark/>
          </w:tcPr>
          <w:p w14:paraId="74DAD99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199-19</w:t>
            </w:r>
          </w:p>
        </w:tc>
        <w:tc>
          <w:tcPr>
            <w:tcW w:w="8175" w:type="dxa"/>
            <w:shd w:val="clear" w:color="auto" w:fill="auto"/>
            <w:hideMark/>
          </w:tcPr>
          <w:p w14:paraId="0ADB1A1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1964-PLA-OI-2019, de la Dirección de Planificación, remitiendo el informe relacionado con el Rediseño de Procesos del Juzgado Penal de Heredia, dan 22 días (no se indica si son naturales o hábiles).</w:t>
            </w:r>
          </w:p>
        </w:tc>
      </w:tr>
      <w:tr w:rsidR="00356493" w:rsidRPr="00266BAD" w14:paraId="40E04CC0" w14:textId="77777777" w:rsidTr="00356493">
        <w:trPr>
          <w:trHeight w:val="1815"/>
        </w:trPr>
        <w:tc>
          <w:tcPr>
            <w:tcW w:w="1456" w:type="dxa"/>
            <w:shd w:val="clear" w:color="auto" w:fill="auto"/>
            <w:vAlign w:val="center"/>
            <w:hideMark/>
          </w:tcPr>
          <w:p w14:paraId="74CCC44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200-19</w:t>
            </w:r>
          </w:p>
        </w:tc>
        <w:tc>
          <w:tcPr>
            <w:tcW w:w="8175" w:type="dxa"/>
            <w:shd w:val="clear" w:color="auto" w:fill="auto"/>
            <w:hideMark/>
          </w:tcPr>
          <w:p w14:paraId="6E940DB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1963-PLA-OI-2019 de la Dirección de Planificación, remitiendo el informe al respecto del Rediseño de Procesos del modelo penal para el Tribunal Penal de Liberia</w:t>
            </w:r>
            <w:r>
              <w:rPr>
                <w:rFonts w:ascii="Cambria" w:eastAsia="Times New Roman" w:hAnsi="Cambria" w:cs="Calibri"/>
                <w:sz w:val="20"/>
                <w:szCs w:val="20"/>
                <w:lang w:eastAsia="es-CR"/>
              </w:rPr>
              <w:t>.</w:t>
            </w:r>
          </w:p>
        </w:tc>
      </w:tr>
      <w:tr w:rsidR="00356493" w:rsidRPr="00266BAD" w14:paraId="5D66D867" w14:textId="77777777" w:rsidTr="00356493">
        <w:trPr>
          <w:trHeight w:val="1815"/>
        </w:trPr>
        <w:tc>
          <w:tcPr>
            <w:tcW w:w="1456" w:type="dxa"/>
            <w:shd w:val="clear" w:color="auto" w:fill="auto"/>
            <w:vAlign w:val="center"/>
            <w:hideMark/>
          </w:tcPr>
          <w:p w14:paraId="77ED3F0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202-19</w:t>
            </w:r>
          </w:p>
        </w:tc>
        <w:tc>
          <w:tcPr>
            <w:tcW w:w="8175" w:type="dxa"/>
            <w:shd w:val="clear" w:color="auto" w:fill="auto"/>
            <w:hideMark/>
          </w:tcPr>
          <w:p w14:paraId="63981B9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1977-PLA-OI-2019 de la Dirección de Planificación, al respecto del informe realizado para el rediseño de modelo del proceso penal del Juzgado Penal del Primer Circuito Judicial de Guanacaste, sede Liberia. </w:t>
            </w:r>
          </w:p>
        </w:tc>
      </w:tr>
      <w:tr w:rsidR="00356493" w:rsidRPr="00266BAD" w14:paraId="75C1097E" w14:textId="77777777" w:rsidTr="00356493">
        <w:trPr>
          <w:trHeight w:val="1545"/>
        </w:trPr>
        <w:tc>
          <w:tcPr>
            <w:tcW w:w="1456" w:type="dxa"/>
            <w:shd w:val="clear" w:color="auto" w:fill="auto"/>
            <w:vAlign w:val="center"/>
            <w:hideMark/>
          </w:tcPr>
          <w:p w14:paraId="4D88C6E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203-19</w:t>
            </w:r>
          </w:p>
        </w:tc>
        <w:tc>
          <w:tcPr>
            <w:tcW w:w="8175" w:type="dxa"/>
            <w:shd w:val="clear" w:color="auto" w:fill="auto"/>
            <w:hideMark/>
          </w:tcPr>
          <w:p w14:paraId="134268F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2044-PLA-2019 de la Dirección de planificación, en referencia a la consulta 132-19 realiza el 29-11-2019 en relación con definir los parámetros de los plazos para </w:t>
            </w:r>
            <w:proofErr w:type="gramStart"/>
            <w:r w:rsidRPr="00266BAD">
              <w:rPr>
                <w:rFonts w:ascii="Cambria" w:eastAsia="Times New Roman" w:hAnsi="Cambria" w:cs="Calibri"/>
                <w:sz w:val="20"/>
                <w:szCs w:val="20"/>
                <w:lang w:eastAsia="es-CR"/>
              </w:rPr>
              <w:t>la  eliminación</w:t>
            </w:r>
            <w:proofErr w:type="gramEnd"/>
            <w:r w:rsidRPr="00266BAD">
              <w:rPr>
                <w:rFonts w:ascii="Cambria" w:eastAsia="Times New Roman" w:hAnsi="Cambria" w:cs="Calibri"/>
                <w:sz w:val="20"/>
                <w:szCs w:val="20"/>
                <w:lang w:eastAsia="es-CR"/>
              </w:rPr>
              <w:t xml:space="preserve"> y remesado de expedientes en el Juzgado Penal de Heredia, a fin de revisar y aclarar los alcances de las directrices emitidas.</w:t>
            </w:r>
          </w:p>
        </w:tc>
      </w:tr>
      <w:tr w:rsidR="00356493" w:rsidRPr="00266BAD" w14:paraId="65B7D0F5" w14:textId="77777777" w:rsidTr="00356493">
        <w:trPr>
          <w:trHeight w:val="1800"/>
        </w:trPr>
        <w:tc>
          <w:tcPr>
            <w:tcW w:w="1456" w:type="dxa"/>
            <w:shd w:val="clear" w:color="auto" w:fill="auto"/>
            <w:vAlign w:val="center"/>
            <w:hideMark/>
          </w:tcPr>
          <w:p w14:paraId="0996111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204-19</w:t>
            </w:r>
          </w:p>
        </w:tc>
        <w:tc>
          <w:tcPr>
            <w:tcW w:w="8175" w:type="dxa"/>
            <w:shd w:val="clear" w:color="auto" w:fill="auto"/>
            <w:hideMark/>
          </w:tcPr>
          <w:p w14:paraId="5D1ABC5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0344-STGAJ-2019 de la Secretaría Técnica de Género y acceso a la Justicia, con relación en lo ordenado por la Sala Constitucional en lo referente a que la Secretaría debe elaborar un modelo de los indicadores para permitir medir el cumplimiento de las políticas institucionales en el ejercicio de derechos de las personas menores de edad víctimas en los procesos judiciales.</w:t>
            </w:r>
          </w:p>
        </w:tc>
      </w:tr>
      <w:tr w:rsidR="00356493" w:rsidRPr="00266BAD" w14:paraId="6BE62923" w14:textId="77777777" w:rsidTr="00356493">
        <w:trPr>
          <w:trHeight w:val="2115"/>
        </w:trPr>
        <w:tc>
          <w:tcPr>
            <w:tcW w:w="1456" w:type="dxa"/>
            <w:shd w:val="clear" w:color="auto" w:fill="auto"/>
            <w:vAlign w:val="center"/>
            <w:hideMark/>
          </w:tcPr>
          <w:p w14:paraId="57D83D2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205-19</w:t>
            </w:r>
          </w:p>
        </w:tc>
        <w:tc>
          <w:tcPr>
            <w:tcW w:w="8175" w:type="dxa"/>
            <w:shd w:val="clear" w:color="auto" w:fill="auto"/>
            <w:hideMark/>
          </w:tcPr>
          <w:p w14:paraId="1DAF5F4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2168-PLA-EV-2019 del área de Planeación y evaluación del Departamento de Planificación, en relación de analizar por parte de la comisión las mejoras realizadas en el Juzgado Penal de Santa Cruz. </w:t>
            </w:r>
          </w:p>
        </w:tc>
      </w:tr>
      <w:tr w:rsidR="00356493" w:rsidRPr="00266BAD" w14:paraId="7A65876C" w14:textId="77777777" w:rsidTr="00356493">
        <w:trPr>
          <w:trHeight w:val="1785"/>
        </w:trPr>
        <w:tc>
          <w:tcPr>
            <w:tcW w:w="1456" w:type="dxa"/>
            <w:shd w:val="clear" w:color="auto" w:fill="auto"/>
            <w:vAlign w:val="center"/>
            <w:hideMark/>
          </w:tcPr>
          <w:p w14:paraId="77C50C7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001-2020</w:t>
            </w:r>
          </w:p>
        </w:tc>
        <w:tc>
          <w:tcPr>
            <w:tcW w:w="8175" w:type="dxa"/>
            <w:shd w:val="clear" w:color="auto" w:fill="auto"/>
            <w:hideMark/>
          </w:tcPr>
          <w:p w14:paraId="5D7C08A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13193-19 del Consejo Superior, al respecto de lo acordado en sesión 107-19 del 10 de diciembre del 2019, artículo XLIX, sobre el plazo de los asuntos sometidos en conocimiento de la Comisión de la Jurisdicción Penal. </w:t>
            </w:r>
          </w:p>
        </w:tc>
      </w:tr>
      <w:tr w:rsidR="00356493" w:rsidRPr="00266BAD" w14:paraId="2584BA88" w14:textId="77777777" w:rsidTr="00356493">
        <w:trPr>
          <w:trHeight w:val="2100"/>
        </w:trPr>
        <w:tc>
          <w:tcPr>
            <w:tcW w:w="1456" w:type="dxa"/>
            <w:shd w:val="clear" w:color="auto" w:fill="auto"/>
            <w:vAlign w:val="center"/>
            <w:hideMark/>
          </w:tcPr>
          <w:p w14:paraId="24092B6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002-2020</w:t>
            </w:r>
          </w:p>
        </w:tc>
        <w:tc>
          <w:tcPr>
            <w:tcW w:w="8175" w:type="dxa"/>
            <w:shd w:val="clear" w:color="auto" w:fill="auto"/>
            <w:hideMark/>
          </w:tcPr>
          <w:p w14:paraId="0ED1E68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2174-PLA-ES-2019 de la Dirección de Planificación, remitiendo informe relacionado con los movimientos de trabajo en el Juzgado de Ejecución de las Sanciones Penales Juveniles durante el 2018 y el último quinquenio. </w:t>
            </w:r>
          </w:p>
        </w:tc>
      </w:tr>
      <w:tr w:rsidR="00356493" w:rsidRPr="00266BAD" w14:paraId="5DE8753C" w14:textId="77777777" w:rsidTr="00356493">
        <w:trPr>
          <w:trHeight w:val="1530"/>
        </w:trPr>
        <w:tc>
          <w:tcPr>
            <w:tcW w:w="1456" w:type="dxa"/>
            <w:shd w:val="clear" w:color="auto" w:fill="auto"/>
            <w:vAlign w:val="center"/>
            <w:hideMark/>
          </w:tcPr>
          <w:p w14:paraId="6FF4BAC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003-2020</w:t>
            </w:r>
          </w:p>
        </w:tc>
        <w:tc>
          <w:tcPr>
            <w:tcW w:w="8175" w:type="dxa"/>
            <w:shd w:val="clear" w:color="auto" w:fill="auto"/>
            <w:hideMark/>
          </w:tcPr>
          <w:p w14:paraId="1AAF9B6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2176-PLA-2019 de la Dirección de Planificación, copiando a la Comisión, oficio dirigido a la Dirección de la Defensa Pública, al respecto del informe 749-PLA-2019, sobre el estudio de rediseño realizado a la Defensa Pública de turno extraordinario y Flagrancia del Primer y Segundo Circuito Judicial de San José. </w:t>
            </w:r>
          </w:p>
        </w:tc>
      </w:tr>
      <w:tr w:rsidR="00356493" w:rsidRPr="00266BAD" w14:paraId="3745F158" w14:textId="77777777" w:rsidTr="00356493">
        <w:trPr>
          <w:trHeight w:val="1785"/>
        </w:trPr>
        <w:tc>
          <w:tcPr>
            <w:tcW w:w="1456" w:type="dxa"/>
            <w:shd w:val="clear" w:color="auto" w:fill="auto"/>
            <w:vAlign w:val="center"/>
            <w:hideMark/>
          </w:tcPr>
          <w:p w14:paraId="39E663F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004-2020</w:t>
            </w:r>
          </w:p>
        </w:tc>
        <w:tc>
          <w:tcPr>
            <w:tcW w:w="8175" w:type="dxa"/>
            <w:shd w:val="clear" w:color="auto" w:fill="auto"/>
            <w:hideMark/>
          </w:tcPr>
          <w:p w14:paraId="5695435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13462-19 del Consejo Superior, comunicando acuerdo de sesión 106-19 del 05 de diciembre de 2019, artículo XXV, sobre lo atendido mediante el oficio CJP232-2019, al respecto de la negativa del O.I.J. al realizar ordenes de presentación en materia contravencional. </w:t>
            </w:r>
          </w:p>
        </w:tc>
      </w:tr>
      <w:tr w:rsidR="00356493" w:rsidRPr="00266BAD" w14:paraId="76CF2EC7" w14:textId="77777777" w:rsidTr="00356493">
        <w:trPr>
          <w:trHeight w:val="2100"/>
        </w:trPr>
        <w:tc>
          <w:tcPr>
            <w:tcW w:w="1456" w:type="dxa"/>
            <w:shd w:val="clear" w:color="auto" w:fill="auto"/>
            <w:vAlign w:val="center"/>
            <w:hideMark/>
          </w:tcPr>
          <w:p w14:paraId="11489D6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005-2020</w:t>
            </w:r>
          </w:p>
        </w:tc>
        <w:tc>
          <w:tcPr>
            <w:tcW w:w="8175" w:type="dxa"/>
            <w:shd w:val="clear" w:color="auto" w:fill="auto"/>
            <w:hideMark/>
          </w:tcPr>
          <w:p w14:paraId="29CB497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2204-PLA-OI-2019, de la Dirección de Planificación, al respecto del taller de presentación del modelo de tramitación de los Tribunales Penales</w:t>
            </w:r>
            <w:r>
              <w:rPr>
                <w:rFonts w:ascii="Cambria" w:eastAsia="Times New Roman" w:hAnsi="Cambria" w:cs="Calibri"/>
                <w:sz w:val="20"/>
                <w:szCs w:val="20"/>
                <w:lang w:eastAsia="es-CR"/>
              </w:rPr>
              <w:t>.</w:t>
            </w:r>
          </w:p>
        </w:tc>
      </w:tr>
      <w:tr w:rsidR="00356493" w:rsidRPr="00266BAD" w14:paraId="1F289669" w14:textId="77777777" w:rsidTr="00356493">
        <w:trPr>
          <w:trHeight w:val="1800"/>
        </w:trPr>
        <w:tc>
          <w:tcPr>
            <w:tcW w:w="1456" w:type="dxa"/>
            <w:shd w:val="clear" w:color="auto" w:fill="auto"/>
            <w:vAlign w:val="center"/>
            <w:hideMark/>
          </w:tcPr>
          <w:p w14:paraId="0542777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006-2020</w:t>
            </w:r>
          </w:p>
        </w:tc>
        <w:tc>
          <w:tcPr>
            <w:tcW w:w="8175" w:type="dxa"/>
            <w:shd w:val="clear" w:color="auto" w:fill="auto"/>
            <w:hideMark/>
          </w:tcPr>
          <w:p w14:paraId="61EEBF2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006-P-2020 del Despacho de la Presidencia de la Corte, remitiendo gestión de parte de la Defensoría de los Habitantes, mediante la cual solicita el criterio de la Comisión al respecto de los casos donde la imputada este en periodo de lactancia y tenga que trasladarse a juicio, ingreso el 10 de enero del 2020, pero ingreso al Despacho de la Presidencia el 26 de diciembre del 2019, la Defensoría de los Habitantes</w:t>
            </w:r>
            <w:r>
              <w:rPr>
                <w:rFonts w:ascii="Cambria" w:eastAsia="Times New Roman" w:hAnsi="Cambria" w:cs="Calibri"/>
                <w:sz w:val="20"/>
                <w:szCs w:val="20"/>
                <w:lang w:eastAsia="es-CR"/>
              </w:rPr>
              <w:t>.</w:t>
            </w:r>
          </w:p>
        </w:tc>
      </w:tr>
      <w:tr w:rsidR="00356493" w:rsidRPr="00266BAD" w14:paraId="6AD642D1" w14:textId="77777777" w:rsidTr="00356493">
        <w:trPr>
          <w:trHeight w:val="1785"/>
        </w:trPr>
        <w:tc>
          <w:tcPr>
            <w:tcW w:w="1456" w:type="dxa"/>
            <w:shd w:val="clear" w:color="auto" w:fill="auto"/>
            <w:vAlign w:val="center"/>
            <w:hideMark/>
          </w:tcPr>
          <w:p w14:paraId="731F000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007-2020</w:t>
            </w:r>
          </w:p>
        </w:tc>
        <w:tc>
          <w:tcPr>
            <w:tcW w:w="8175" w:type="dxa"/>
            <w:shd w:val="clear" w:color="auto" w:fill="auto"/>
            <w:hideMark/>
          </w:tcPr>
          <w:p w14:paraId="0751DEA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Nº 02-CLP-2020, de la Comisión de Monitoreo y Seguimiento de la Ley de Penalización de la Violencia contra la Mujer, solicitando a la Comisión de Asuntos Penales para que se emita directriz de manera que los Tribunales de Juicio agenden con prioridad estos procesos de Ley de Penalización y los delitos sexuales, después de “reo preso”</w:t>
            </w:r>
            <w:r>
              <w:rPr>
                <w:rFonts w:ascii="Cambria" w:eastAsia="Times New Roman" w:hAnsi="Cambria" w:cs="Calibri"/>
                <w:sz w:val="20"/>
                <w:szCs w:val="20"/>
                <w:lang w:eastAsia="es-CR"/>
              </w:rPr>
              <w:t>.</w:t>
            </w:r>
          </w:p>
        </w:tc>
      </w:tr>
      <w:tr w:rsidR="00356493" w:rsidRPr="00266BAD" w14:paraId="1ADABFEF" w14:textId="77777777" w:rsidTr="00356493">
        <w:trPr>
          <w:trHeight w:val="1785"/>
        </w:trPr>
        <w:tc>
          <w:tcPr>
            <w:tcW w:w="1456" w:type="dxa"/>
            <w:shd w:val="clear" w:color="auto" w:fill="auto"/>
            <w:vAlign w:val="center"/>
            <w:hideMark/>
          </w:tcPr>
          <w:p w14:paraId="38CE299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008-2020</w:t>
            </w:r>
          </w:p>
        </w:tc>
        <w:tc>
          <w:tcPr>
            <w:tcW w:w="8175" w:type="dxa"/>
            <w:shd w:val="clear" w:color="auto" w:fill="auto"/>
            <w:hideMark/>
          </w:tcPr>
          <w:p w14:paraId="581E3B6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721-2020 del Consejo Superior, remitiendo acuerdo de sesión 110-19 del 19 de diciembre del 2019, artículo XXVII, relacionado con el oficio CJP231-2019 del criterio de la Comisión respecto al oficio CACC-01-2019</w:t>
            </w:r>
            <w:r>
              <w:rPr>
                <w:rFonts w:ascii="Cambria" w:eastAsia="Times New Roman" w:hAnsi="Cambria" w:cs="Calibri"/>
                <w:sz w:val="20"/>
                <w:szCs w:val="20"/>
                <w:lang w:eastAsia="es-CR"/>
              </w:rPr>
              <w:t>.</w:t>
            </w:r>
          </w:p>
        </w:tc>
      </w:tr>
      <w:tr w:rsidR="00356493" w:rsidRPr="00266BAD" w14:paraId="40C9DE6D" w14:textId="77777777" w:rsidTr="00356493">
        <w:trPr>
          <w:trHeight w:val="1785"/>
        </w:trPr>
        <w:tc>
          <w:tcPr>
            <w:tcW w:w="1456" w:type="dxa"/>
            <w:shd w:val="clear" w:color="auto" w:fill="auto"/>
            <w:vAlign w:val="center"/>
            <w:hideMark/>
          </w:tcPr>
          <w:p w14:paraId="5501E68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009-2020</w:t>
            </w:r>
          </w:p>
        </w:tc>
        <w:tc>
          <w:tcPr>
            <w:tcW w:w="8175" w:type="dxa"/>
            <w:shd w:val="clear" w:color="auto" w:fill="auto"/>
            <w:hideMark/>
          </w:tcPr>
          <w:p w14:paraId="44F687F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888-2020, del Consejo Superior, remitiendo acuerdo de sesión 109-2019, del 17 de diciembre de 2019, artículo XXVIII, sobre situación de la Defensa Pública de Liberia, en cuanto a resolver situaciones atientes a la disponibilidad, solicitando criterio de la Comisión. </w:t>
            </w:r>
          </w:p>
        </w:tc>
      </w:tr>
      <w:tr w:rsidR="00356493" w:rsidRPr="00266BAD" w14:paraId="65530639" w14:textId="77777777" w:rsidTr="00356493">
        <w:trPr>
          <w:trHeight w:val="1785"/>
        </w:trPr>
        <w:tc>
          <w:tcPr>
            <w:tcW w:w="1456" w:type="dxa"/>
            <w:shd w:val="clear" w:color="auto" w:fill="auto"/>
            <w:vAlign w:val="center"/>
            <w:hideMark/>
          </w:tcPr>
          <w:p w14:paraId="1B66C61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010-2020</w:t>
            </w:r>
          </w:p>
        </w:tc>
        <w:tc>
          <w:tcPr>
            <w:tcW w:w="8175" w:type="dxa"/>
            <w:shd w:val="clear" w:color="auto" w:fill="auto"/>
            <w:hideMark/>
          </w:tcPr>
          <w:p w14:paraId="50C9B5D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828-2020, del Consejo Superior, remitiendo acuerdo de sesión 05-2020, del 21 de enero del 2020, artículo LXXIV, al respecto del oficio de la Comisión CJP228-2019 y CJP001-2020, relacionado con los accesos y permisos otorgados a nivel del Ministerio Público, respecto las anotaciones en el Sistema de Registro Electrónico de Mandamientos. </w:t>
            </w:r>
          </w:p>
        </w:tc>
      </w:tr>
      <w:tr w:rsidR="00356493" w:rsidRPr="00266BAD" w14:paraId="488A39DF" w14:textId="77777777" w:rsidTr="00356493">
        <w:trPr>
          <w:trHeight w:val="1785"/>
        </w:trPr>
        <w:tc>
          <w:tcPr>
            <w:tcW w:w="1456" w:type="dxa"/>
            <w:shd w:val="clear" w:color="auto" w:fill="auto"/>
            <w:vAlign w:val="center"/>
            <w:hideMark/>
          </w:tcPr>
          <w:p w14:paraId="3D22AD3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011-2020</w:t>
            </w:r>
          </w:p>
        </w:tc>
        <w:tc>
          <w:tcPr>
            <w:tcW w:w="8175" w:type="dxa"/>
            <w:shd w:val="clear" w:color="auto" w:fill="auto"/>
            <w:hideMark/>
          </w:tcPr>
          <w:p w14:paraId="765C287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794-2020, del Consejo Superior, remitiendo acuerdo de sesión 110-19 del 19 de diciembre del 2019, artículo LIII, donde se acordó tomar nota de lo comunicado mediante oficio CGTI-27-2019, de la Comisión Gerencial de Tecnología, relacionado con el tema de acceso a los expedientes judiciales por parte de los abogados particulares que no forman parte del proceso</w:t>
            </w:r>
            <w:r>
              <w:rPr>
                <w:rFonts w:ascii="Cambria" w:eastAsia="Times New Roman" w:hAnsi="Cambria" w:cs="Calibri"/>
                <w:sz w:val="20"/>
                <w:szCs w:val="20"/>
                <w:lang w:eastAsia="es-CR"/>
              </w:rPr>
              <w:t>.</w:t>
            </w:r>
          </w:p>
        </w:tc>
      </w:tr>
      <w:tr w:rsidR="00356493" w:rsidRPr="00266BAD" w14:paraId="1D9FE533" w14:textId="77777777" w:rsidTr="00356493">
        <w:trPr>
          <w:trHeight w:val="1785"/>
        </w:trPr>
        <w:tc>
          <w:tcPr>
            <w:tcW w:w="1456" w:type="dxa"/>
            <w:shd w:val="clear" w:color="auto" w:fill="auto"/>
            <w:vAlign w:val="center"/>
            <w:hideMark/>
          </w:tcPr>
          <w:p w14:paraId="79DB009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012-2020</w:t>
            </w:r>
          </w:p>
        </w:tc>
        <w:tc>
          <w:tcPr>
            <w:tcW w:w="8175" w:type="dxa"/>
            <w:shd w:val="clear" w:color="auto" w:fill="auto"/>
            <w:hideMark/>
          </w:tcPr>
          <w:p w14:paraId="61B2A63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152-PLA-MI-OI-2020, de la Dirección de Planificación, remitiendo informe relacionado con la modificación del cronograma del Proyecto para el Desarrollo e Implementación del Modelo Estándar Integral del Proceso Penal. </w:t>
            </w:r>
          </w:p>
        </w:tc>
      </w:tr>
      <w:tr w:rsidR="00356493" w:rsidRPr="00266BAD" w14:paraId="1CB0E168" w14:textId="77777777" w:rsidTr="00356493">
        <w:trPr>
          <w:trHeight w:val="1020"/>
        </w:trPr>
        <w:tc>
          <w:tcPr>
            <w:tcW w:w="1456" w:type="dxa"/>
            <w:shd w:val="clear" w:color="auto" w:fill="auto"/>
            <w:vAlign w:val="center"/>
            <w:hideMark/>
          </w:tcPr>
          <w:p w14:paraId="1A289F1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013-2020</w:t>
            </w:r>
          </w:p>
        </w:tc>
        <w:tc>
          <w:tcPr>
            <w:tcW w:w="8175" w:type="dxa"/>
            <w:shd w:val="clear" w:color="auto" w:fill="auto"/>
            <w:hideMark/>
          </w:tcPr>
          <w:p w14:paraId="236CB6E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fecha 05-02-2020, del señor Carlos Alfonso Mora </w:t>
            </w:r>
            <w:proofErr w:type="spellStart"/>
            <w:r w:rsidRPr="00266BAD">
              <w:rPr>
                <w:rFonts w:ascii="Cambria" w:eastAsia="Times New Roman" w:hAnsi="Cambria" w:cs="Calibri"/>
                <w:sz w:val="20"/>
                <w:szCs w:val="20"/>
                <w:lang w:eastAsia="es-CR"/>
              </w:rPr>
              <w:t>Mora</w:t>
            </w:r>
            <w:proofErr w:type="spellEnd"/>
            <w:r w:rsidRPr="00266BAD">
              <w:rPr>
                <w:rFonts w:ascii="Cambria" w:eastAsia="Times New Roman" w:hAnsi="Cambria" w:cs="Calibri"/>
                <w:sz w:val="20"/>
                <w:szCs w:val="20"/>
                <w:lang w:eastAsia="es-CR"/>
              </w:rPr>
              <w:t xml:space="preserve">, del Juzgado Contravencional de Pavas, en atención a la circular 003-2003, gestión 1483-2018, sobre el nombramiento de un defensor público en causa por lesiones </w:t>
            </w:r>
            <w:r>
              <w:rPr>
                <w:rFonts w:ascii="Cambria" w:eastAsia="Times New Roman" w:hAnsi="Cambria" w:cs="Calibri"/>
                <w:sz w:val="20"/>
                <w:szCs w:val="20"/>
                <w:lang w:eastAsia="es-CR"/>
              </w:rPr>
              <w:t>levísimas.</w:t>
            </w:r>
          </w:p>
        </w:tc>
      </w:tr>
      <w:tr w:rsidR="00356493" w:rsidRPr="00266BAD" w14:paraId="2704A055" w14:textId="77777777" w:rsidTr="00356493">
        <w:trPr>
          <w:trHeight w:val="1785"/>
        </w:trPr>
        <w:tc>
          <w:tcPr>
            <w:tcW w:w="1456" w:type="dxa"/>
            <w:shd w:val="clear" w:color="auto" w:fill="auto"/>
            <w:vAlign w:val="center"/>
            <w:hideMark/>
          </w:tcPr>
          <w:p w14:paraId="48C41C7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014-2020</w:t>
            </w:r>
          </w:p>
        </w:tc>
        <w:tc>
          <w:tcPr>
            <w:tcW w:w="8175" w:type="dxa"/>
            <w:shd w:val="clear" w:color="auto" w:fill="auto"/>
            <w:hideMark/>
          </w:tcPr>
          <w:p w14:paraId="2683BD5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180-PLA-ES-2020 de la Dirección de Planificación, en atención a la incidencia de mejora planteada por Marcela Chacón </w:t>
            </w:r>
            <w:proofErr w:type="spellStart"/>
            <w:r w:rsidRPr="00266BAD">
              <w:rPr>
                <w:rFonts w:ascii="Cambria" w:eastAsia="Times New Roman" w:hAnsi="Cambria" w:cs="Calibri"/>
                <w:sz w:val="20"/>
                <w:szCs w:val="20"/>
                <w:lang w:eastAsia="es-CR"/>
              </w:rPr>
              <w:t>Chacón</w:t>
            </w:r>
            <w:proofErr w:type="spellEnd"/>
            <w:r w:rsidRPr="00266BAD">
              <w:rPr>
                <w:rFonts w:ascii="Cambria" w:eastAsia="Times New Roman" w:hAnsi="Cambria" w:cs="Calibri"/>
                <w:sz w:val="20"/>
                <w:szCs w:val="20"/>
                <w:lang w:eastAsia="es-CR"/>
              </w:rPr>
              <w:t xml:space="preserve"> del Tribunal Penal del Primer Circuito Judicial de San José, donde solicita a la Dirección de Tecnología de Información y al Subproceso de Estadística realizar un cambio en el informe mensual estadístico que se genera desde la plataforma sigma, denominado “Informe mensual Tribunal Penal y Flagrancia EJ-08_10_11”; a fin de no mostrar aquellos intervinientes que se registran en el sistema informático como “Imputado Inhábil”</w:t>
            </w:r>
            <w:r>
              <w:rPr>
                <w:rFonts w:ascii="Cambria" w:eastAsia="Times New Roman" w:hAnsi="Cambria" w:cs="Calibri"/>
                <w:sz w:val="20"/>
                <w:szCs w:val="20"/>
                <w:lang w:eastAsia="es-CR"/>
              </w:rPr>
              <w:t>.</w:t>
            </w:r>
          </w:p>
        </w:tc>
      </w:tr>
      <w:tr w:rsidR="00356493" w:rsidRPr="00266BAD" w14:paraId="6887947C" w14:textId="77777777" w:rsidTr="00356493">
        <w:trPr>
          <w:trHeight w:val="1530"/>
        </w:trPr>
        <w:tc>
          <w:tcPr>
            <w:tcW w:w="1456" w:type="dxa"/>
            <w:shd w:val="clear" w:color="auto" w:fill="auto"/>
            <w:vAlign w:val="center"/>
            <w:hideMark/>
          </w:tcPr>
          <w:p w14:paraId="7787A6E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015-2020</w:t>
            </w:r>
          </w:p>
        </w:tc>
        <w:tc>
          <w:tcPr>
            <w:tcW w:w="8175" w:type="dxa"/>
            <w:shd w:val="clear" w:color="auto" w:fill="auto"/>
            <w:hideMark/>
          </w:tcPr>
          <w:p w14:paraId="2A1AFDC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1304-2020 del Consejo Superior, comunicando acuerdo de sesión 10-2020, del 6 de febrero del 2020, artículo XL, sobre oficio CJP007-2020 del informe 1531-PLA-ES-2019, de los cuadros estadísticos sobre los homicidios dolosos durante el 2018 y el último quinquenio. </w:t>
            </w:r>
          </w:p>
        </w:tc>
      </w:tr>
      <w:tr w:rsidR="00356493" w:rsidRPr="00266BAD" w14:paraId="7042684A" w14:textId="77777777" w:rsidTr="00356493">
        <w:trPr>
          <w:trHeight w:val="1785"/>
        </w:trPr>
        <w:tc>
          <w:tcPr>
            <w:tcW w:w="1456" w:type="dxa"/>
            <w:shd w:val="clear" w:color="auto" w:fill="auto"/>
            <w:vAlign w:val="center"/>
            <w:hideMark/>
          </w:tcPr>
          <w:p w14:paraId="3458524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016-2020</w:t>
            </w:r>
          </w:p>
        </w:tc>
        <w:tc>
          <w:tcPr>
            <w:tcW w:w="8175" w:type="dxa"/>
            <w:shd w:val="clear" w:color="auto" w:fill="auto"/>
            <w:hideMark/>
          </w:tcPr>
          <w:p w14:paraId="3B5969F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1445-2020 del Consejo Superior, comunicando acuerdo de la sesión 11-2020 del 11 de febrero del 2020, artículo LXVII, sobre la Ley de Penalización de Violencia Contra la Mujer por razón de género bajo el ámbito de la Ley de Penalización de Violencia Contra la Mujeres y el Convenio Belém do Pará, atendido mediante oficio CJP012-2020. </w:t>
            </w:r>
          </w:p>
        </w:tc>
      </w:tr>
      <w:tr w:rsidR="00356493" w:rsidRPr="00266BAD" w14:paraId="510E26D3" w14:textId="77777777" w:rsidTr="00356493">
        <w:trPr>
          <w:trHeight w:val="1785"/>
        </w:trPr>
        <w:tc>
          <w:tcPr>
            <w:tcW w:w="1456" w:type="dxa"/>
            <w:shd w:val="clear" w:color="auto" w:fill="auto"/>
            <w:vAlign w:val="center"/>
            <w:hideMark/>
          </w:tcPr>
          <w:p w14:paraId="3EA7D6F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018-2020</w:t>
            </w:r>
          </w:p>
        </w:tc>
        <w:tc>
          <w:tcPr>
            <w:tcW w:w="8175" w:type="dxa"/>
            <w:shd w:val="clear" w:color="auto" w:fill="auto"/>
            <w:hideMark/>
          </w:tcPr>
          <w:p w14:paraId="47EFAEB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1471-2020 de Corte Plena, comunicando acuerdo de sesión 03-2020 del 20 de enero del 2020, artículo XXVI, sobre la consulta que realiza el Consejo de Administración de Grecia, sobre la aplicación de la circular 156-2013, atendido mediante oficio CJP219-2019. </w:t>
            </w:r>
          </w:p>
        </w:tc>
      </w:tr>
      <w:tr w:rsidR="00356493" w:rsidRPr="00266BAD" w14:paraId="590A41D8" w14:textId="77777777" w:rsidTr="00356493">
        <w:trPr>
          <w:trHeight w:val="1785"/>
        </w:trPr>
        <w:tc>
          <w:tcPr>
            <w:tcW w:w="1456" w:type="dxa"/>
            <w:shd w:val="clear" w:color="auto" w:fill="auto"/>
            <w:vAlign w:val="center"/>
            <w:hideMark/>
          </w:tcPr>
          <w:p w14:paraId="26F45B0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019-2020</w:t>
            </w:r>
          </w:p>
        </w:tc>
        <w:tc>
          <w:tcPr>
            <w:tcW w:w="8175" w:type="dxa"/>
            <w:shd w:val="clear" w:color="auto" w:fill="auto"/>
            <w:hideMark/>
          </w:tcPr>
          <w:p w14:paraId="0754BE0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1516-2020 del Corte Plena, comunicando oficio 002-JCMCP-2018 del señor Carlos Alfonso Mora </w:t>
            </w:r>
            <w:proofErr w:type="spellStart"/>
            <w:r w:rsidRPr="00266BAD">
              <w:rPr>
                <w:rFonts w:ascii="Cambria" w:eastAsia="Times New Roman" w:hAnsi="Cambria" w:cs="Calibri"/>
                <w:sz w:val="20"/>
                <w:szCs w:val="20"/>
                <w:lang w:eastAsia="es-CR"/>
              </w:rPr>
              <w:t>Mora</w:t>
            </w:r>
            <w:proofErr w:type="spellEnd"/>
            <w:r w:rsidRPr="00266BAD">
              <w:rPr>
                <w:rFonts w:ascii="Cambria" w:eastAsia="Times New Roman" w:hAnsi="Cambria" w:cs="Calibri"/>
                <w:sz w:val="20"/>
                <w:szCs w:val="20"/>
                <w:lang w:eastAsia="es-CR"/>
              </w:rPr>
              <w:t xml:space="preserve">, Coordinador Judicial del Juzgado Contravencional y Menor Cuantía de Pavas, solicitando aclaración o interpretación del acuerdo adoptado por Corte Plena en sesión 54-02 del 02 de diciembre de 2002, artículo XVII. y el oficio JEFDP-144-2020 de la señora Diana Montero </w:t>
            </w:r>
            <w:proofErr w:type="spellStart"/>
            <w:r w:rsidRPr="00266BAD">
              <w:rPr>
                <w:rFonts w:ascii="Cambria" w:eastAsia="Times New Roman" w:hAnsi="Cambria" w:cs="Calibri"/>
                <w:sz w:val="20"/>
                <w:szCs w:val="20"/>
                <w:lang w:eastAsia="es-CR"/>
              </w:rPr>
              <w:t>Montero</w:t>
            </w:r>
            <w:proofErr w:type="spellEnd"/>
            <w:r w:rsidRPr="00266BAD">
              <w:rPr>
                <w:rFonts w:ascii="Cambria" w:eastAsia="Times New Roman" w:hAnsi="Cambria" w:cs="Calibri"/>
                <w:sz w:val="20"/>
                <w:szCs w:val="20"/>
                <w:lang w:eastAsia="es-CR"/>
              </w:rPr>
              <w:t xml:space="preserve">, jefa de la Defensa Pública, como respuesta. </w:t>
            </w:r>
          </w:p>
        </w:tc>
      </w:tr>
      <w:tr w:rsidR="00356493" w:rsidRPr="00266BAD" w14:paraId="365D5C18" w14:textId="77777777" w:rsidTr="00356493">
        <w:trPr>
          <w:trHeight w:val="2100"/>
        </w:trPr>
        <w:tc>
          <w:tcPr>
            <w:tcW w:w="1456" w:type="dxa"/>
            <w:shd w:val="clear" w:color="auto" w:fill="auto"/>
            <w:vAlign w:val="center"/>
            <w:hideMark/>
          </w:tcPr>
          <w:p w14:paraId="798CE39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020-2020</w:t>
            </w:r>
          </w:p>
        </w:tc>
        <w:tc>
          <w:tcPr>
            <w:tcW w:w="8175" w:type="dxa"/>
            <w:shd w:val="clear" w:color="auto" w:fill="auto"/>
            <w:hideMark/>
          </w:tcPr>
          <w:p w14:paraId="2D0510A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246-PLA-ES-2020, de la Dirección de Planificación, sobre el informe relacionado con el análisis y cuadros estadísticos de los movimientos de trabajo en los Tribunales Penales, durante el 2018 y el último quinquenio. </w:t>
            </w:r>
          </w:p>
        </w:tc>
      </w:tr>
      <w:tr w:rsidR="00356493" w:rsidRPr="00266BAD" w14:paraId="63ADAE79" w14:textId="77777777" w:rsidTr="00356493">
        <w:trPr>
          <w:trHeight w:val="2100"/>
        </w:trPr>
        <w:tc>
          <w:tcPr>
            <w:tcW w:w="1456" w:type="dxa"/>
            <w:shd w:val="clear" w:color="auto" w:fill="auto"/>
            <w:vAlign w:val="center"/>
            <w:hideMark/>
          </w:tcPr>
          <w:p w14:paraId="36A2D4B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021-2020</w:t>
            </w:r>
          </w:p>
        </w:tc>
        <w:tc>
          <w:tcPr>
            <w:tcW w:w="8175" w:type="dxa"/>
            <w:shd w:val="clear" w:color="auto" w:fill="auto"/>
            <w:hideMark/>
          </w:tcPr>
          <w:p w14:paraId="1FC8569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284-PLA-OI-2020, de la Dirección de Planificación, sobre el informe de rediseño del proceso del modelo penal mediante nuevas tecnologías de información del Tribunal Penal del Primer Circuito Judicial de Guanacaste, sede Cañas. </w:t>
            </w:r>
          </w:p>
        </w:tc>
      </w:tr>
      <w:tr w:rsidR="00356493" w:rsidRPr="00266BAD" w14:paraId="1572C6A7" w14:textId="77777777" w:rsidTr="00356493">
        <w:trPr>
          <w:trHeight w:val="2115"/>
        </w:trPr>
        <w:tc>
          <w:tcPr>
            <w:tcW w:w="1456" w:type="dxa"/>
            <w:shd w:val="clear" w:color="auto" w:fill="auto"/>
            <w:vAlign w:val="center"/>
            <w:hideMark/>
          </w:tcPr>
          <w:p w14:paraId="190B41D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022-2020</w:t>
            </w:r>
          </w:p>
        </w:tc>
        <w:tc>
          <w:tcPr>
            <w:tcW w:w="8175" w:type="dxa"/>
            <w:shd w:val="clear" w:color="auto" w:fill="auto"/>
            <w:hideMark/>
          </w:tcPr>
          <w:p w14:paraId="5FE9551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287-PLA-OI-2020, de la Dirección de Planificación, sobre el informe relacionado con el rediseño del Proceso Penal, del Juzgado Penal de Sarapiquí</w:t>
            </w:r>
            <w:r>
              <w:rPr>
                <w:rFonts w:ascii="Cambria" w:eastAsia="Times New Roman" w:hAnsi="Cambria" w:cs="Calibri"/>
                <w:sz w:val="20"/>
                <w:szCs w:val="20"/>
                <w:lang w:eastAsia="es-CR"/>
              </w:rPr>
              <w:t>.</w:t>
            </w:r>
          </w:p>
        </w:tc>
      </w:tr>
      <w:tr w:rsidR="00356493" w:rsidRPr="00266BAD" w14:paraId="6F6ECCEA" w14:textId="77777777" w:rsidTr="00356493">
        <w:trPr>
          <w:trHeight w:val="2100"/>
        </w:trPr>
        <w:tc>
          <w:tcPr>
            <w:tcW w:w="1456" w:type="dxa"/>
            <w:shd w:val="clear" w:color="auto" w:fill="auto"/>
            <w:vAlign w:val="center"/>
            <w:hideMark/>
          </w:tcPr>
          <w:p w14:paraId="6F3B9FF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023-2020</w:t>
            </w:r>
          </w:p>
        </w:tc>
        <w:tc>
          <w:tcPr>
            <w:tcW w:w="8175" w:type="dxa"/>
            <w:shd w:val="clear" w:color="auto" w:fill="auto"/>
            <w:hideMark/>
          </w:tcPr>
          <w:p w14:paraId="5D75133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285-PLA-OI-2020, de la Dirección de Planificación, sobre el informe relacionado con el rediseño de procesos de la Sección de Flagrancia de Liberia</w:t>
            </w:r>
            <w:r>
              <w:rPr>
                <w:rFonts w:ascii="Cambria" w:eastAsia="Times New Roman" w:hAnsi="Cambria" w:cs="Calibri"/>
                <w:sz w:val="20"/>
                <w:szCs w:val="20"/>
                <w:lang w:eastAsia="es-CR"/>
              </w:rPr>
              <w:t>.</w:t>
            </w:r>
          </w:p>
        </w:tc>
      </w:tr>
      <w:tr w:rsidR="00356493" w:rsidRPr="00266BAD" w14:paraId="04F99EAA" w14:textId="77777777" w:rsidTr="00356493">
        <w:trPr>
          <w:trHeight w:val="1785"/>
        </w:trPr>
        <w:tc>
          <w:tcPr>
            <w:tcW w:w="1456" w:type="dxa"/>
            <w:shd w:val="clear" w:color="auto" w:fill="auto"/>
            <w:vAlign w:val="center"/>
            <w:hideMark/>
          </w:tcPr>
          <w:p w14:paraId="08B8261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024-2020</w:t>
            </w:r>
          </w:p>
        </w:tc>
        <w:tc>
          <w:tcPr>
            <w:tcW w:w="8175" w:type="dxa"/>
            <w:shd w:val="clear" w:color="auto" w:fill="auto"/>
            <w:hideMark/>
          </w:tcPr>
          <w:p w14:paraId="1B9A2E9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104-STGAJ-2020 de la Secretaría Técnica de Genero y Acceso a la Justicia, referente al informe sobre las medidas y actuaciones adoptadas para dar cumplimiento a lo ordenado en la resolución 19-010316-0007-CO, sobre las políticas institucionales del Poder Judicial. </w:t>
            </w:r>
          </w:p>
        </w:tc>
      </w:tr>
      <w:tr w:rsidR="00356493" w:rsidRPr="00266BAD" w14:paraId="43D2A3E3" w14:textId="77777777" w:rsidTr="00356493">
        <w:trPr>
          <w:trHeight w:val="1785"/>
        </w:trPr>
        <w:tc>
          <w:tcPr>
            <w:tcW w:w="1456" w:type="dxa"/>
            <w:shd w:val="clear" w:color="auto" w:fill="auto"/>
            <w:vAlign w:val="center"/>
            <w:hideMark/>
          </w:tcPr>
          <w:p w14:paraId="77488A6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025-2020</w:t>
            </w:r>
          </w:p>
        </w:tc>
        <w:tc>
          <w:tcPr>
            <w:tcW w:w="8175" w:type="dxa"/>
            <w:shd w:val="clear" w:color="auto" w:fill="auto"/>
            <w:hideMark/>
          </w:tcPr>
          <w:p w14:paraId="34F205B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DVV-S1-024-2020, de la señora magistrada Damaris Vargas V, coordinadora de la Sub Comisión de Acceso a la Justicia de Pueblos Indígenas, trasladando la gestión planteada por la señora Ariana Céspedes López, Fiscala Adjunta Indígena, relativo a las ayudas económicas a las personas indígenas.</w:t>
            </w:r>
          </w:p>
        </w:tc>
      </w:tr>
      <w:tr w:rsidR="00356493" w:rsidRPr="00266BAD" w14:paraId="07517C99" w14:textId="77777777" w:rsidTr="00356493">
        <w:trPr>
          <w:trHeight w:val="2040"/>
        </w:trPr>
        <w:tc>
          <w:tcPr>
            <w:tcW w:w="1456" w:type="dxa"/>
            <w:shd w:val="clear" w:color="auto" w:fill="auto"/>
            <w:vAlign w:val="center"/>
            <w:hideMark/>
          </w:tcPr>
          <w:p w14:paraId="02E603D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026-2020</w:t>
            </w:r>
          </w:p>
        </w:tc>
        <w:tc>
          <w:tcPr>
            <w:tcW w:w="8175" w:type="dxa"/>
            <w:shd w:val="clear" w:color="auto" w:fill="auto"/>
            <w:hideMark/>
          </w:tcPr>
          <w:p w14:paraId="4D2E612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25-SEGA-2020 de la Auditoría Judicial, solicitando indicar las acciones realizadas, por parte de la Comisión de la Jurisdicción Penal, así como la evidencia respectiva, en relación con las sugerencias números 1 y 2 contenidas en el Informe de Advertencia N° 932-47-SAO-2019 del 13 de agosto de 2019, relacionado con “…Los accesos y permisos otorgados a nivel del Ministerio Público, respecto las anotaciones en el Sistema de Registro Electrónico de Mandamientos”, conocido por el Consejo Superior en la sesión N° 75-2019 del 27 de agosto de 2019</w:t>
            </w:r>
            <w:r>
              <w:rPr>
                <w:rFonts w:ascii="Cambria" w:eastAsia="Times New Roman" w:hAnsi="Cambria" w:cs="Calibri"/>
                <w:sz w:val="20"/>
                <w:szCs w:val="20"/>
                <w:lang w:eastAsia="es-CR"/>
              </w:rPr>
              <w:t>.</w:t>
            </w:r>
          </w:p>
        </w:tc>
      </w:tr>
      <w:tr w:rsidR="00356493" w:rsidRPr="00266BAD" w14:paraId="26650D73" w14:textId="77777777" w:rsidTr="00356493">
        <w:trPr>
          <w:trHeight w:val="2040"/>
        </w:trPr>
        <w:tc>
          <w:tcPr>
            <w:tcW w:w="1456" w:type="dxa"/>
            <w:shd w:val="clear" w:color="auto" w:fill="auto"/>
            <w:vAlign w:val="center"/>
            <w:hideMark/>
          </w:tcPr>
          <w:p w14:paraId="5C25ADE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027-2020</w:t>
            </w:r>
          </w:p>
        </w:tc>
        <w:tc>
          <w:tcPr>
            <w:tcW w:w="8175" w:type="dxa"/>
            <w:shd w:val="clear" w:color="auto" w:fill="auto"/>
            <w:hideMark/>
          </w:tcPr>
          <w:p w14:paraId="2C8C88B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2081-2020, del Consejo Superior, comunicando acuerdo de sesión 11-2020 del 11 de febrero del 2020, artículo LV, sobre el oficio Nº 124-PLA-ES-2020 del 28 de enero en curso, el Ingeniero Dixon Li Morales, Jefe interino del Proceso Ejecución de las Operaciones de la Dirección de Planificación, remite el informe suscrito por la licenciada Ana Ericka Rodríguez Araya, Jefa del Subproceso de Estadística, relacionado con un resumen de aquellos expedientes que, al 30 de junio de 2019, todavía se encontraban activos en los diferentes despachos judiciales de primera instancia. </w:t>
            </w:r>
          </w:p>
        </w:tc>
      </w:tr>
      <w:tr w:rsidR="00356493" w:rsidRPr="00266BAD" w14:paraId="62EB0FDC" w14:textId="77777777" w:rsidTr="00356493">
        <w:trPr>
          <w:trHeight w:val="1530"/>
        </w:trPr>
        <w:tc>
          <w:tcPr>
            <w:tcW w:w="1456" w:type="dxa"/>
            <w:shd w:val="clear" w:color="auto" w:fill="auto"/>
            <w:vAlign w:val="center"/>
            <w:hideMark/>
          </w:tcPr>
          <w:p w14:paraId="0DC1C72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028-2020</w:t>
            </w:r>
          </w:p>
        </w:tc>
        <w:tc>
          <w:tcPr>
            <w:tcW w:w="8175" w:type="dxa"/>
            <w:shd w:val="clear" w:color="auto" w:fill="auto"/>
            <w:hideMark/>
          </w:tcPr>
          <w:p w14:paraId="5E00E20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13-Mag.2.SCP-2020, de la Dirección de Planificación, relativo a la respuesta de por qué no se le incluyo a la Comisión de la Jurisdicción Penal, en la evaluación del plan institucional 2013-2018. </w:t>
            </w:r>
          </w:p>
        </w:tc>
      </w:tr>
      <w:tr w:rsidR="00356493" w:rsidRPr="00266BAD" w14:paraId="32F622B6" w14:textId="77777777" w:rsidTr="00356493">
        <w:trPr>
          <w:trHeight w:val="1275"/>
        </w:trPr>
        <w:tc>
          <w:tcPr>
            <w:tcW w:w="1456" w:type="dxa"/>
            <w:shd w:val="clear" w:color="auto" w:fill="auto"/>
            <w:vAlign w:val="center"/>
            <w:hideMark/>
          </w:tcPr>
          <w:p w14:paraId="6ECC606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029-2020</w:t>
            </w:r>
          </w:p>
        </w:tc>
        <w:tc>
          <w:tcPr>
            <w:tcW w:w="8175" w:type="dxa"/>
            <w:shd w:val="clear" w:color="auto" w:fill="auto"/>
            <w:hideMark/>
          </w:tcPr>
          <w:p w14:paraId="319B6EC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2108-2020 de Corte Plena, comunicado acuerdo de sesión 06-2020, del 10 de febrero del 2020, artículo XVIII, sobre oficio 362-DG-2017, sobre el informe de cuenta de la Comisión de Enlace Corte - O.I.J. sobre la Ley Contra la Delincuencia Organizada. </w:t>
            </w:r>
          </w:p>
        </w:tc>
      </w:tr>
      <w:tr w:rsidR="00356493" w:rsidRPr="00266BAD" w14:paraId="11339237" w14:textId="77777777" w:rsidTr="00356493">
        <w:trPr>
          <w:trHeight w:val="1020"/>
        </w:trPr>
        <w:tc>
          <w:tcPr>
            <w:tcW w:w="1456" w:type="dxa"/>
            <w:shd w:val="clear" w:color="auto" w:fill="auto"/>
            <w:vAlign w:val="center"/>
            <w:hideMark/>
          </w:tcPr>
          <w:p w14:paraId="279E661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030-2020</w:t>
            </w:r>
          </w:p>
        </w:tc>
        <w:tc>
          <w:tcPr>
            <w:tcW w:w="8175" w:type="dxa"/>
            <w:shd w:val="clear" w:color="auto" w:fill="auto"/>
            <w:hideMark/>
          </w:tcPr>
          <w:p w14:paraId="02BFBFF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2272-2020 del Consejo Superior, remitiendo acuerdo de sesión 18-2020 del 5 de marzo del 2020, artículo LII, sobre los oficios 322-PLA-PP-2020 de la Dirección de Planificación y DGPN-SD-242-2019, sobre "Lineamientos sobre Formulación, Ejecución y Evaluación del Presupuesto de la República". </w:t>
            </w:r>
          </w:p>
        </w:tc>
      </w:tr>
      <w:tr w:rsidR="00356493" w:rsidRPr="00266BAD" w14:paraId="17BFFEEB" w14:textId="77777777" w:rsidTr="00356493">
        <w:trPr>
          <w:trHeight w:val="1530"/>
        </w:trPr>
        <w:tc>
          <w:tcPr>
            <w:tcW w:w="1456" w:type="dxa"/>
            <w:shd w:val="clear" w:color="auto" w:fill="auto"/>
            <w:vAlign w:val="center"/>
            <w:hideMark/>
          </w:tcPr>
          <w:p w14:paraId="027CFFA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031-2020</w:t>
            </w:r>
          </w:p>
        </w:tc>
        <w:tc>
          <w:tcPr>
            <w:tcW w:w="8175" w:type="dxa"/>
            <w:shd w:val="clear" w:color="auto" w:fill="auto"/>
            <w:hideMark/>
          </w:tcPr>
          <w:p w14:paraId="106898F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320-PLA-MI-2020, de la Dirección de Planificación, relativo al oficio 461-PLA-2018, sobre el Modelo de Atención del Organismo de Investigación Judicial, atendido mediante oficio CJP183-2019. </w:t>
            </w:r>
          </w:p>
        </w:tc>
      </w:tr>
      <w:tr w:rsidR="00356493" w:rsidRPr="00266BAD" w14:paraId="19F291CD" w14:textId="77777777" w:rsidTr="00356493">
        <w:trPr>
          <w:trHeight w:val="2040"/>
        </w:trPr>
        <w:tc>
          <w:tcPr>
            <w:tcW w:w="1456" w:type="dxa"/>
            <w:shd w:val="clear" w:color="auto" w:fill="auto"/>
            <w:vAlign w:val="center"/>
            <w:hideMark/>
          </w:tcPr>
          <w:p w14:paraId="3BA32BA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032-2020</w:t>
            </w:r>
          </w:p>
        </w:tc>
        <w:tc>
          <w:tcPr>
            <w:tcW w:w="8175" w:type="dxa"/>
            <w:shd w:val="clear" w:color="auto" w:fill="auto"/>
            <w:hideMark/>
          </w:tcPr>
          <w:p w14:paraId="7DCF6F6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fecha 07 de marzo del 2020, del señor Luis Guillermo Araya Vallejos, comunicando problemática que se da en el Tribunal Penal de Santa Cruz, con relación a los asuntos de Crimen Organizado y la falta de personal de la Defensa Pública. </w:t>
            </w:r>
          </w:p>
        </w:tc>
      </w:tr>
      <w:tr w:rsidR="00356493" w:rsidRPr="00266BAD" w14:paraId="343D815B" w14:textId="77777777" w:rsidTr="00356493">
        <w:trPr>
          <w:trHeight w:val="1785"/>
        </w:trPr>
        <w:tc>
          <w:tcPr>
            <w:tcW w:w="1456" w:type="dxa"/>
            <w:shd w:val="clear" w:color="auto" w:fill="auto"/>
            <w:vAlign w:val="center"/>
            <w:hideMark/>
          </w:tcPr>
          <w:p w14:paraId="09D019D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033-2020</w:t>
            </w:r>
          </w:p>
        </w:tc>
        <w:tc>
          <w:tcPr>
            <w:tcW w:w="8175" w:type="dxa"/>
            <w:shd w:val="clear" w:color="auto" w:fill="auto"/>
            <w:hideMark/>
          </w:tcPr>
          <w:p w14:paraId="0F7C726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014-CCPJ-2020, del Centro de Conciliación del Poder Judicial, solicitando aclarar lo manifestado por la Mag. Patricia, en el acuerdo de Corte Plena del 10 de febrero del 2020, artículo XXIV, sobre la gran cantidad de asuntos prescritos en dicho Centro. </w:t>
            </w:r>
          </w:p>
        </w:tc>
      </w:tr>
      <w:tr w:rsidR="00356493" w:rsidRPr="00266BAD" w14:paraId="524AA4D9" w14:textId="77777777" w:rsidTr="00356493">
        <w:trPr>
          <w:trHeight w:val="1785"/>
        </w:trPr>
        <w:tc>
          <w:tcPr>
            <w:tcW w:w="1456" w:type="dxa"/>
            <w:shd w:val="clear" w:color="auto" w:fill="auto"/>
            <w:vAlign w:val="center"/>
            <w:hideMark/>
          </w:tcPr>
          <w:p w14:paraId="369852C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034-2020</w:t>
            </w:r>
          </w:p>
        </w:tc>
        <w:tc>
          <w:tcPr>
            <w:tcW w:w="8175" w:type="dxa"/>
            <w:shd w:val="clear" w:color="auto" w:fill="auto"/>
            <w:hideMark/>
          </w:tcPr>
          <w:p w14:paraId="0CAC8A8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2300-2020 del Consejo Superior, remitiendo acuerdo de sesión 16-2020, del 27 de febrero del 2020, artículo LV, relacionado con el "Procedimiento para la Grabación de las Audiencias Orales y Actos de Investigación</w:t>
            </w:r>
            <w:r>
              <w:rPr>
                <w:rFonts w:ascii="Cambria" w:eastAsia="Times New Roman" w:hAnsi="Cambria" w:cs="Calibri"/>
                <w:sz w:val="20"/>
                <w:szCs w:val="20"/>
                <w:lang w:eastAsia="es-CR"/>
              </w:rPr>
              <w:t>.</w:t>
            </w:r>
          </w:p>
        </w:tc>
      </w:tr>
      <w:tr w:rsidR="00356493" w:rsidRPr="00266BAD" w14:paraId="6CCD42D2" w14:textId="77777777" w:rsidTr="00356493">
        <w:trPr>
          <w:trHeight w:val="1785"/>
        </w:trPr>
        <w:tc>
          <w:tcPr>
            <w:tcW w:w="1456" w:type="dxa"/>
            <w:shd w:val="clear" w:color="auto" w:fill="auto"/>
            <w:vAlign w:val="center"/>
            <w:hideMark/>
          </w:tcPr>
          <w:p w14:paraId="14A2E9D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035-2020</w:t>
            </w:r>
          </w:p>
        </w:tc>
        <w:tc>
          <w:tcPr>
            <w:tcW w:w="8175" w:type="dxa"/>
            <w:shd w:val="clear" w:color="auto" w:fill="auto"/>
            <w:hideMark/>
          </w:tcPr>
          <w:p w14:paraId="48F1516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015-CCPJ-2020, del Centro de Conciliación del Poder Judicial, dando respuesta al oficio 2118-2020 del 10 de febrero del 2020, artículo XXIV, relativo a la propuesta de reforma de la Ley Orgánica del Poder Judicial, remite proyecto de Ley. </w:t>
            </w:r>
          </w:p>
        </w:tc>
      </w:tr>
      <w:tr w:rsidR="00356493" w:rsidRPr="00266BAD" w14:paraId="6037D705" w14:textId="77777777" w:rsidTr="00356493">
        <w:trPr>
          <w:trHeight w:val="1800"/>
        </w:trPr>
        <w:tc>
          <w:tcPr>
            <w:tcW w:w="1456" w:type="dxa"/>
            <w:shd w:val="clear" w:color="auto" w:fill="auto"/>
            <w:vAlign w:val="center"/>
            <w:hideMark/>
          </w:tcPr>
          <w:p w14:paraId="1989610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036-2020</w:t>
            </w:r>
          </w:p>
        </w:tc>
        <w:tc>
          <w:tcPr>
            <w:tcW w:w="8175" w:type="dxa"/>
            <w:shd w:val="clear" w:color="auto" w:fill="auto"/>
            <w:hideMark/>
          </w:tcPr>
          <w:p w14:paraId="465C5BB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DJ-944-2020 de la Dirección Jurídica, remitiendo oficio DGT-284-2020 de la Directora General de Tributación del Ministerio de Hacienda, sobre la resolución sobre el trámite de los mandamientos judiciales. </w:t>
            </w:r>
          </w:p>
        </w:tc>
      </w:tr>
      <w:tr w:rsidR="00356493" w:rsidRPr="00266BAD" w14:paraId="69824530" w14:textId="77777777" w:rsidTr="00356493">
        <w:trPr>
          <w:trHeight w:val="1530"/>
        </w:trPr>
        <w:tc>
          <w:tcPr>
            <w:tcW w:w="1456" w:type="dxa"/>
            <w:shd w:val="clear" w:color="auto" w:fill="auto"/>
            <w:vAlign w:val="center"/>
            <w:hideMark/>
          </w:tcPr>
          <w:p w14:paraId="5940BC9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037-2020</w:t>
            </w:r>
          </w:p>
        </w:tc>
        <w:tc>
          <w:tcPr>
            <w:tcW w:w="8175" w:type="dxa"/>
            <w:shd w:val="clear" w:color="auto" w:fill="auto"/>
            <w:hideMark/>
          </w:tcPr>
          <w:p w14:paraId="239014F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343-72-SEGA-2020 de la Auditoría Judicial, remitiendo informe sobre el resultado del seguimiento de las sugerencias de Auditoria dirigidas a la Comisión de la Jurisdicción Penal. Referencia CJP228-2019 y CJP033-2020. </w:t>
            </w:r>
          </w:p>
        </w:tc>
      </w:tr>
      <w:tr w:rsidR="00356493" w:rsidRPr="00266BAD" w14:paraId="6F76489E" w14:textId="77777777" w:rsidTr="00356493">
        <w:trPr>
          <w:trHeight w:val="1530"/>
        </w:trPr>
        <w:tc>
          <w:tcPr>
            <w:tcW w:w="1456" w:type="dxa"/>
            <w:shd w:val="clear" w:color="auto" w:fill="auto"/>
            <w:vAlign w:val="center"/>
            <w:hideMark/>
          </w:tcPr>
          <w:p w14:paraId="45A5386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038-2020</w:t>
            </w:r>
          </w:p>
        </w:tc>
        <w:tc>
          <w:tcPr>
            <w:tcW w:w="8175" w:type="dxa"/>
            <w:shd w:val="clear" w:color="auto" w:fill="auto"/>
            <w:hideMark/>
          </w:tcPr>
          <w:p w14:paraId="6E7090F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2740-2020, del Consejo Superior, remitiendo acuerdo de sesión 17-2020 del 3 de marzo del 2020, artículo LIII, sobre la aprobación del Protocolo de Cadena de Custodia en el manejo de los procesos penales, atendido por la Comisión mediante oficio CJP195-2019</w:t>
            </w:r>
            <w:r>
              <w:rPr>
                <w:rFonts w:ascii="Cambria" w:eastAsia="Times New Roman" w:hAnsi="Cambria" w:cs="Calibri"/>
                <w:sz w:val="20"/>
                <w:szCs w:val="20"/>
                <w:lang w:eastAsia="es-CR"/>
              </w:rPr>
              <w:t>.</w:t>
            </w:r>
          </w:p>
        </w:tc>
      </w:tr>
      <w:tr w:rsidR="00356493" w:rsidRPr="00266BAD" w14:paraId="650C2885" w14:textId="77777777" w:rsidTr="00356493">
        <w:trPr>
          <w:trHeight w:val="3315"/>
        </w:trPr>
        <w:tc>
          <w:tcPr>
            <w:tcW w:w="1456" w:type="dxa"/>
            <w:shd w:val="clear" w:color="auto" w:fill="auto"/>
            <w:vAlign w:val="center"/>
            <w:hideMark/>
          </w:tcPr>
          <w:p w14:paraId="27CCBD0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040-2020</w:t>
            </w:r>
          </w:p>
        </w:tc>
        <w:tc>
          <w:tcPr>
            <w:tcW w:w="8175" w:type="dxa"/>
            <w:shd w:val="clear" w:color="auto" w:fill="auto"/>
            <w:hideMark/>
          </w:tcPr>
          <w:p w14:paraId="747C711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474-PLA-PE-2020, de la Dirección de Planificación, remitiendo informe suscrito por el Máster Allan </w:t>
            </w:r>
            <w:proofErr w:type="spellStart"/>
            <w:r w:rsidRPr="00266BAD">
              <w:rPr>
                <w:rFonts w:ascii="Cambria" w:eastAsia="Times New Roman" w:hAnsi="Cambria" w:cs="Calibri"/>
                <w:sz w:val="20"/>
                <w:szCs w:val="20"/>
                <w:lang w:eastAsia="es-CR"/>
              </w:rPr>
              <w:t>Pow</w:t>
            </w:r>
            <w:proofErr w:type="spellEnd"/>
            <w:r w:rsidRPr="00266BAD">
              <w:rPr>
                <w:rFonts w:ascii="Cambria" w:eastAsia="Times New Roman" w:hAnsi="Cambria" w:cs="Calibri"/>
                <w:sz w:val="20"/>
                <w:szCs w:val="20"/>
                <w:lang w:eastAsia="es-CR"/>
              </w:rPr>
              <w:t>, jefe de Subproceso de Planificación Estratégica, relacionado con el seguimiento de los proyectos estratégicos, a los cuales da seguimiento esta Dirección.</w:t>
            </w:r>
          </w:p>
        </w:tc>
      </w:tr>
      <w:tr w:rsidR="00356493" w:rsidRPr="00266BAD" w14:paraId="0BAEBE6B" w14:textId="77777777" w:rsidTr="00356493">
        <w:trPr>
          <w:trHeight w:val="1785"/>
        </w:trPr>
        <w:tc>
          <w:tcPr>
            <w:tcW w:w="1456" w:type="dxa"/>
            <w:shd w:val="clear" w:color="auto" w:fill="auto"/>
            <w:vAlign w:val="center"/>
            <w:hideMark/>
          </w:tcPr>
          <w:p w14:paraId="1E7B5F2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041-2020</w:t>
            </w:r>
          </w:p>
        </w:tc>
        <w:tc>
          <w:tcPr>
            <w:tcW w:w="8175" w:type="dxa"/>
            <w:shd w:val="clear" w:color="auto" w:fill="auto"/>
            <w:hideMark/>
          </w:tcPr>
          <w:p w14:paraId="7DFDC65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2826-2020 del Consejo Superior, comunicando acuerdo de sesión 17-2020 del 03 de marzo del 2020, artículo XLIX, sobre las Reglas para el dictado de las sentencias orales o escritas en las distintas jurisdicciones del país, atendido por la Comisión mediante oficio CJP113-2019/CJP030-2020. </w:t>
            </w:r>
          </w:p>
        </w:tc>
      </w:tr>
      <w:tr w:rsidR="00356493" w:rsidRPr="00266BAD" w14:paraId="45BD3937" w14:textId="77777777" w:rsidTr="00356493">
        <w:trPr>
          <w:trHeight w:val="1785"/>
        </w:trPr>
        <w:tc>
          <w:tcPr>
            <w:tcW w:w="1456" w:type="dxa"/>
            <w:shd w:val="clear" w:color="auto" w:fill="auto"/>
            <w:vAlign w:val="center"/>
            <w:hideMark/>
          </w:tcPr>
          <w:p w14:paraId="49CBB50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042-2020</w:t>
            </w:r>
          </w:p>
        </w:tc>
        <w:tc>
          <w:tcPr>
            <w:tcW w:w="8175" w:type="dxa"/>
            <w:shd w:val="clear" w:color="auto" w:fill="auto"/>
            <w:hideMark/>
          </w:tcPr>
          <w:p w14:paraId="26EBF90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2817-2020 del Consejo Superior, comunicando acuerdo de sesión 17-2020 del 3 de marzo del 2020, artículo XLVII, sobre la revisión del acta de la visita del Tribunal de la Inspección Judicial al Circuito Judicial de Limón, atendido por la Comisión mediante oficio CJP025-2020</w:t>
            </w:r>
            <w:r>
              <w:rPr>
                <w:rFonts w:ascii="Cambria" w:eastAsia="Times New Roman" w:hAnsi="Cambria" w:cs="Calibri"/>
                <w:sz w:val="20"/>
                <w:szCs w:val="20"/>
                <w:lang w:eastAsia="es-CR"/>
              </w:rPr>
              <w:t>.</w:t>
            </w:r>
          </w:p>
        </w:tc>
      </w:tr>
      <w:tr w:rsidR="00356493" w:rsidRPr="00266BAD" w14:paraId="2C1BB80E" w14:textId="77777777" w:rsidTr="00356493">
        <w:trPr>
          <w:trHeight w:val="1785"/>
        </w:trPr>
        <w:tc>
          <w:tcPr>
            <w:tcW w:w="1456" w:type="dxa"/>
            <w:shd w:val="clear" w:color="auto" w:fill="auto"/>
            <w:vAlign w:val="center"/>
            <w:hideMark/>
          </w:tcPr>
          <w:p w14:paraId="0748CB4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043-2020</w:t>
            </w:r>
          </w:p>
        </w:tc>
        <w:tc>
          <w:tcPr>
            <w:tcW w:w="8175" w:type="dxa"/>
            <w:shd w:val="clear" w:color="auto" w:fill="auto"/>
            <w:hideMark/>
          </w:tcPr>
          <w:p w14:paraId="0EAA08A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2818-2020 del Consejo Superior, remitiendo acuerdo de sesión 17-2020 del 03 de marzo del 2020, artículo XLVIII, relacionado con el acta de visita realizada por el Tribunal de la Inspección Judicial al Tribunal de Juicio del Primer Circuito Judicial de la Zona Atlántica. Atendida mediante oficio CJP026-2020. </w:t>
            </w:r>
          </w:p>
        </w:tc>
      </w:tr>
      <w:tr w:rsidR="00356493" w:rsidRPr="00266BAD" w14:paraId="2A844E63" w14:textId="77777777" w:rsidTr="00356493">
        <w:trPr>
          <w:trHeight w:val="2100"/>
        </w:trPr>
        <w:tc>
          <w:tcPr>
            <w:tcW w:w="1456" w:type="dxa"/>
            <w:shd w:val="clear" w:color="auto" w:fill="auto"/>
            <w:vAlign w:val="center"/>
            <w:hideMark/>
          </w:tcPr>
          <w:p w14:paraId="3E70B77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044-2020 </w:t>
            </w:r>
          </w:p>
        </w:tc>
        <w:tc>
          <w:tcPr>
            <w:tcW w:w="8175" w:type="dxa"/>
            <w:shd w:val="clear" w:color="auto" w:fill="auto"/>
            <w:hideMark/>
          </w:tcPr>
          <w:p w14:paraId="053A596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2820-2020 del Consejo Superior, remitiendo acuerdo de sesión 17-2020 del 03 de marzo del 2020, artículo L, relacionado con Criterio de la Comisión sobre el la rogatoria de la Agencia de Protección de Datos, atendido por la comisión mediante oficio CJP029-2020. </w:t>
            </w:r>
          </w:p>
        </w:tc>
      </w:tr>
      <w:tr w:rsidR="00356493" w:rsidRPr="00266BAD" w14:paraId="1307EABE" w14:textId="77777777" w:rsidTr="00356493">
        <w:trPr>
          <w:trHeight w:val="1785"/>
        </w:trPr>
        <w:tc>
          <w:tcPr>
            <w:tcW w:w="1456" w:type="dxa"/>
            <w:shd w:val="clear" w:color="auto" w:fill="auto"/>
            <w:vAlign w:val="center"/>
            <w:hideMark/>
          </w:tcPr>
          <w:p w14:paraId="30BFE58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045-2020</w:t>
            </w:r>
          </w:p>
        </w:tc>
        <w:tc>
          <w:tcPr>
            <w:tcW w:w="8175" w:type="dxa"/>
            <w:shd w:val="clear" w:color="auto" w:fill="auto"/>
            <w:hideMark/>
          </w:tcPr>
          <w:p w14:paraId="4CD4993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2914-2020 del Consejo Superior, mediante el cual nos comunican el acuerdo de la sesión 21-2020, del 24 de marzo del 2020, artículo XI, mediante el cual se acordó aprobar el informe "resumen del Anteproyecto de Presupuesto y el Plan Anual Operativo, correspondiente a cada una de las Comisiones Institucionales y del Programa Hacia Cero Papel y el Consejo de Personal". </w:t>
            </w:r>
          </w:p>
        </w:tc>
      </w:tr>
      <w:tr w:rsidR="00356493" w:rsidRPr="00266BAD" w14:paraId="5F3DF80A" w14:textId="77777777" w:rsidTr="00356493">
        <w:trPr>
          <w:trHeight w:val="1785"/>
        </w:trPr>
        <w:tc>
          <w:tcPr>
            <w:tcW w:w="1456" w:type="dxa"/>
            <w:shd w:val="clear" w:color="auto" w:fill="auto"/>
            <w:vAlign w:val="center"/>
            <w:hideMark/>
          </w:tcPr>
          <w:p w14:paraId="31C5413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046-2020</w:t>
            </w:r>
          </w:p>
        </w:tc>
        <w:tc>
          <w:tcPr>
            <w:tcW w:w="8175" w:type="dxa"/>
            <w:shd w:val="clear" w:color="auto" w:fill="auto"/>
            <w:hideMark/>
          </w:tcPr>
          <w:p w14:paraId="776455D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3025-2020 del Consejo Superior, mediante el cual nos comunica el acuerdo de sesión 24-2020 del 19 de marzo del 2020, artículo LXXI, relacionado con los resultados de la visita realizada en el Juzgado Mixto de Sarapiquí, por parte de la Inspección Judicial, atendida mediante oficio CJP035-2020. </w:t>
            </w:r>
          </w:p>
        </w:tc>
      </w:tr>
      <w:tr w:rsidR="00356493" w:rsidRPr="00266BAD" w14:paraId="7C31C201" w14:textId="77777777" w:rsidTr="00356493">
        <w:trPr>
          <w:trHeight w:val="1785"/>
        </w:trPr>
        <w:tc>
          <w:tcPr>
            <w:tcW w:w="1456" w:type="dxa"/>
            <w:shd w:val="clear" w:color="auto" w:fill="auto"/>
            <w:vAlign w:val="center"/>
            <w:hideMark/>
          </w:tcPr>
          <w:p w14:paraId="676176D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047-2020</w:t>
            </w:r>
          </w:p>
        </w:tc>
        <w:tc>
          <w:tcPr>
            <w:tcW w:w="8175" w:type="dxa"/>
            <w:shd w:val="clear" w:color="auto" w:fill="auto"/>
            <w:hideMark/>
          </w:tcPr>
          <w:p w14:paraId="2119F75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3075-2020 del Consejo Superior, comunicando el acuerdo de sesión 24-2020, del 19 de marzo del 2020, artículo LXX, sobre los cuadros estadísticos de personas fallecidas por accidentes de tránsito ocurridas en el 2018 y que fueron atendidas por los oficiales de la Policía Judicial del O.I.J. </w:t>
            </w:r>
          </w:p>
        </w:tc>
      </w:tr>
      <w:tr w:rsidR="00356493" w:rsidRPr="00266BAD" w14:paraId="57E7AF49" w14:textId="77777777" w:rsidTr="00356493">
        <w:trPr>
          <w:trHeight w:val="2394"/>
        </w:trPr>
        <w:tc>
          <w:tcPr>
            <w:tcW w:w="1456" w:type="dxa"/>
            <w:shd w:val="clear" w:color="auto" w:fill="auto"/>
            <w:vAlign w:val="center"/>
            <w:hideMark/>
          </w:tcPr>
          <w:p w14:paraId="1BEC899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048-2020</w:t>
            </w:r>
          </w:p>
        </w:tc>
        <w:tc>
          <w:tcPr>
            <w:tcW w:w="8175" w:type="dxa"/>
            <w:shd w:val="clear" w:color="auto" w:fill="auto"/>
            <w:hideMark/>
          </w:tcPr>
          <w:p w14:paraId="5C66340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MJP-227-03-2020 del Ministerio de Justicia y Paz, remitiendo consultas ante la emergencia sanitaria nacional producto del virus COVID-19, en aras de proteger los derechos fundamentales de la población penitenciaria, así como adición de la Magistrada Sandra Zúñiga. </w:t>
            </w:r>
          </w:p>
        </w:tc>
      </w:tr>
      <w:tr w:rsidR="00356493" w:rsidRPr="00266BAD" w14:paraId="1E42DAF8" w14:textId="77777777" w:rsidTr="00356493">
        <w:trPr>
          <w:trHeight w:val="1530"/>
        </w:trPr>
        <w:tc>
          <w:tcPr>
            <w:tcW w:w="1456" w:type="dxa"/>
            <w:shd w:val="clear" w:color="auto" w:fill="auto"/>
            <w:vAlign w:val="center"/>
            <w:hideMark/>
          </w:tcPr>
          <w:p w14:paraId="6E3C782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049-2020</w:t>
            </w:r>
          </w:p>
        </w:tc>
        <w:tc>
          <w:tcPr>
            <w:tcW w:w="8175" w:type="dxa"/>
            <w:shd w:val="clear" w:color="auto" w:fill="auto"/>
            <w:hideMark/>
          </w:tcPr>
          <w:p w14:paraId="20DB75C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CACC-101-2020, de la Unidad de Acceso a la Justicia, remitiendo acuerdo de la Subcomisión de Acceso a la Justicia de Pueblos Indígenas. </w:t>
            </w:r>
          </w:p>
        </w:tc>
      </w:tr>
      <w:tr w:rsidR="00356493" w:rsidRPr="00266BAD" w14:paraId="4F5783AF" w14:textId="77777777" w:rsidTr="00356493">
        <w:trPr>
          <w:trHeight w:val="1785"/>
        </w:trPr>
        <w:tc>
          <w:tcPr>
            <w:tcW w:w="1456" w:type="dxa"/>
            <w:shd w:val="clear" w:color="auto" w:fill="auto"/>
            <w:vAlign w:val="center"/>
            <w:hideMark/>
          </w:tcPr>
          <w:p w14:paraId="05D716F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050-2020</w:t>
            </w:r>
          </w:p>
        </w:tc>
        <w:tc>
          <w:tcPr>
            <w:tcW w:w="8175" w:type="dxa"/>
            <w:shd w:val="clear" w:color="auto" w:fill="auto"/>
            <w:hideMark/>
          </w:tcPr>
          <w:p w14:paraId="2799B8E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2971-2020 del Consejo Superior remitiendo acuerdo de sesión 24-2020, del 19 de marzo del 2020, artículo LXXII, sobre el informe 1264-PLA-2019, de la Dirección de Planificación, relacionado con los cuadros estadísticos sobre movimientos de trabajo en las fiscalías penales durante el 2018 y el último quinquenio. </w:t>
            </w:r>
          </w:p>
        </w:tc>
      </w:tr>
      <w:tr w:rsidR="00356493" w:rsidRPr="00266BAD" w14:paraId="5BAC770E" w14:textId="77777777" w:rsidTr="00356493">
        <w:trPr>
          <w:trHeight w:val="1785"/>
        </w:trPr>
        <w:tc>
          <w:tcPr>
            <w:tcW w:w="1456" w:type="dxa"/>
            <w:shd w:val="clear" w:color="auto" w:fill="auto"/>
            <w:vAlign w:val="center"/>
            <w:hideMark/>
          </w:tcPr>
          <w:p w14:paraId="6B639D8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051-2020</w:t>
            </w:r>
          </w:p>
        </w:tc>
        <w:tc>
          <w:tcPr>
            <w:tcW w:w="8175" w:type="dxa"/>
            <w:shd w:val="clear" w:color="auto" w:fill="auto"/>
            <w:hideMark/>
          </w:tcPr>
          <w:p w14:paraId="679F0C6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3261-2020 del Consejo Superior, remitiendo el acuerdo de sesión 30-2020, del 31 de marzo del 2020, artículo LIV, sobre el informe de la Dirección de Planificación 516-PLA-2020 sobre el acatamiento al punto 1.3 de la circular 57-2020, relacionado con la disposición para el funcionamiento del sistema de justicia penal, ante el Covid-19. </w:t>
            </w:r>
          </w:p>
        </w:tc>
      </w:tr>
      <w:tr w:rsidR="00356493" w:rsidRPr="00266BAD" w14:paraId="19B63DA4" w14:textId="77777777" w:rsidTr="00356493">
        <w:trPr>
          <w:trHeight w:val="1785"/>
        </w:trPr>
        <w:tc>
          <w:tcPr>
            <w:tcW w:w="1456" w:type="dxa"/>
            <w:shd w:val="clear" w:color="auto" w:fill="auto"/>
            <w:vAlign w:val="center"/>
            <w:hideMark/>
          </w:tcPr>
          <w:p w14:paraId="02603C8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052-2020</w:t>
            </w:r>
          </w:p>
        </w:tc>
        <w:tc>
          <w:tcPr>
            <w:tcW w:w="8175" w:type="dxa"/>
            <w:shd w:val="clear" w:color="auto" w:fill="auto"/>
            <w:hideMark/>
          </w:tcPr>
          <w:p w14:paraId="40FF358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3239-2020 del Consejo Superior, comunicando acuerdo de sesión 20-2020 del 12 de marzo del 2020, artículo LII, sobre los principales resultados obtenidos del análisis de las “Personas detenidas a la orden de los Juzgados y Tribunales Penales del país al finalizar el 2018, atendido por la Comisión mediante oficio CJP069-2020, pronunciamiento que no se echa de menos en el informe de Planificación</w:t>
            </w:r>
            <w:r>
              <w:rPr>
                <w:rFonts w:ascii="Cambria" w:eastAsia="Times New Roman" w:hAnsi="Cambria" w:cs="Calibri"/>
                <w:sz w:val="20"/>
                <w:szCs w:val="20"/>
                <w:lang w:eastAsia="es-CR"/>
              </w:rPr>
              <w:t>.</w:t>
            </w:r>
          </w:p>
        </w:tc>
      </w:tr>
      <w:tr w:rsidR="00356493" w:rsidRPr="00266BAD" w14:paraId="7A8C78AD" w14:textId="77777777" w:rsidTr="00356493">
        <w:trPr>
          <w:trHeight w:val="1785"/>
        </w:trPr>
        <w:tc>
          <w:tcPr>
            <w:tcW w:w="1456" w:type="dxa"/>
            <w:shd w:val="clear" w:color="auto" w:fill="auto"/>
            <w:vAlign w:val="center"/>
            <w:hideMark/>
          </w:tcPr>
          <w:p w14:paraId="7F6777C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053-2020</w:t>
            </w:r>
          </w:p>
        </w:tc>
        <w:tc>
          <w:tcPr>
            <w:tcW w:w="8175" w:type="dxa"/>
            <w:shd w:val="clear" w:color="auto" w:fill="auto"/>
            <w:hideMark/>
          </w:tcPr>
          <w:p w14:paraId="3F6AAD7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3406-20 del Consejo Superior, comunicando acuerdo de sesión 29-2020 del 27 de marzo del 2020, artículo único, sobre el oficio 02-Mag.2.CSP-2020 de la Presidenta de la Comisión de la Jurisdicción Penal la Magistrada Patricia Solano,  en relación con la atención de la emergencia por contagio de la enfermedad Covid-19 en el Poder Judicial, según la cual, se solicitó a los gestores de las diferentes materias y jurisdicciones una propuesta de plan de trabajo para la atención de las oficinas durante este periodo indefinido de cierre. </w:t>
            </w:r>
          </w:p>
        </w:tc>
      </w:tr>
      <w:tr w:rsidR="00356493" w:rsidRPr="00266BAD" w14:paraId="225E359C" w14:textId="77777777" w:rsidTr="00356493">
        <w:trPr>
          <w:trHeight w:val="1785"/>
        </w:trPr>
        <w:tc>
          <w:tcPr>
            <w:tcW w:w="1456" w:type="dxa"/>
            <w:shd w:val="clear" w:color="auto" w:fill="auto"/>
            <w:vAlign w:val="center"/>
            <w:hideMark/>
          </w:tcPr>
          <w:p w14:paraId="79FE80A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054-2020</w:t>
            </w:r>
          </w:p>
        </w:tc>
        <w:tc>
          <w:tcPr>
            <w:tcW w:w="8175" w:type="dxa"/>
            <w:shd w:val="clear" w:color="auto" w:fill="auto"/>
            <w:hideMark/>
          </w:tcPr>
          <w:p w14:paraId="33997D0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CACC-130-2020 de la Comisión de Acceso a la Justicia del Poder Judicial, remitiendo acuerdo de sesión virtual del 31 de marzo del 2020, artículo V, solicitando a la Comisiones Jurisdiccionales, emitan las listas de personas juzgadoras por materia que estiman conveniente sean capacitadas con prioridad en la temática de "Promoción de la autonomía personal de las personas con Discapacidad". </w:t>
            </w:r>
          </w:p>
        </w:tc>
      </w:tr>
      <w:tr w:rsidR="00356493" w:rsidRPr="00266BAD" w14:paraId="474392C3" w14:textId="77777777" w:rsidTr="00356493">
        <w:trPr>
          <w:trHeight w:val="1530"/>
        </w:trPr>
        <w:tc>
          <w:tcPr>
            <w:tcW w:w="1456" w:type="dxa"/>
            <w:shd w:val="clear" w:color="auto" w:fill="auto"/>
            <w:vAlign w:val="center"/>
            <w:hideMark/>
          </w:tcPr>
          <w:p w14:paraId="133B60C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055-2020</w:t>
            </w:r>
          </w:p>
        </w:tc>
        <w:tc>
          <w:tcPr>
            <w:tcW w:w="8175" w:type="dxa"/>
            <w:shd w:val="clear" w:color="auto" w:fill="auto"/>
            <w:hideMark/>
          </w:tcPr>
          <w:p w14:paraId="67FBF06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548-PLA-OI-2020, de la Dirección de Planificación, mediante el cual remite informe correspondiente al rediseño del modelo penal, ara el circuito judicial de Puntarenas, ingreso el 21 de abril del 2020</w:t>
            </w:r>
            <w:r>
              <w:rPr>
                <w:rFonts w:ascii="Cambria" w:eastAsia="Times New Roman" w:hAnsi="Cambria" w:cs="Calibri"/>
                <w:sz w:val="20"/>
                <w:szCs w:val="20"/>
                <w:lang w:eastAsia="es-CR"/>
              </w:rPr>
              <w:t>.</w:t>
            </w:r>
          </w:p>
        </w:tc>
      </w:tr>
      <w:tr w:rsidR="00356493" w:rsidRPr="00266BAD" w14:paraId="199033AF" w14:textId="77777777" w:rsidTr="00356493">
        <w:trPr>
          <w:trHeight w:val="1785"/>
        </w:trPr>
        <w:tc>
          <w:tcPr>
            <w:tcW w:w="1456" w:type="dxa"/>
            <w:shd w:val="clear" w:color="auto" w:fill="auto"/>
            <w:vAlign w:val="center"/>
            <w:hideMark/>
          </w:tcPr>
          <w:p w14:paraId="066224C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056-2020</w:t>
            </w:r>
          </w:p>
        </w:tc>
        <w:tc>
          <w:tcPr>
            <w:tcW w:w="8175" w:type="dxa"/>
            <w:shd w:val="clear" w:color="auto" w:fill="auto"/>
            <w:hideMark/>
          </w:tcPr>
          <w:p w14:paraId="7E2982E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3696-2020 del Consejo Superior, comunicando acuerdo de sesión 27-2020 del 24 de marzo del 2020, artículo LXXIII, sobre el oficio 409-PLA-2019 de la Dirección de Planificación, relativo a los 13 cuadros estadísticos y análisis, sobre los movimientos de trabajo en los juzgados competentes en materia Penal Juvenil D-durante el 2017, atendido por la Comisión mediante oficio CJP185-2019. </w:t>
            </w:r>
          </w:p>
        </w:tc>
      </w:tr>
      <w:tr w:rsidR="00356493" w:rsidRPr="00266BAD" w14:paraId="78EEEDE0" w14:textId="77777777" w:rsidTr="00356493">
        <w:trPr>
          <w:trHeight w:val="1785"/>
        </w:trPr>
        <w:tc>
          <w:tcPr>
            <w:tcW w:w="1456" w:type="dxa"/>
            <w:shd w:val="clear" w:color="auto" w:fill="auto"/>
            <w:vAlign w:val="center"/>
            <w:hideMark/>
          </w:tcPr>
          <w:p w14:paraId="4C1B90F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057-2020</w:t>
            </w:r>
          </w:p>
        </w:tc>
        <w:tc>
          <w:tcPr>
            <w:tcW w:w="8175" w:type="dxa"/>
            <w:shd w:val="clear" w:color="auto" w:fill="auto"/>
            <w:hideMark/>
          </w:tcPr>
          <w:p w14:paraId="5895767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3706-2020 del Consejo Superior, comunicando acuerdo de sesión 27-2020 del 24 de marzo del 2020, artículo LXXXI, sobre el informe 1090-PLA-ES-2019, de la Dirección de Planificación relacionado con las muertes ocurridas por homicidio culposo en Costa Rica durante el 2018 y que fueron atendidas por el O.I.J. atendido por la Comisión mediante oficio CJP040-2020. </w:t>
            </w:r>
          </w:p>
        </w:tc>
      </w:tr>
      <w:tr w:rsidR="00356493" w:rsidRPr="00266BAD" w14:paraId="540C92AB" w14:textId="77777777" w:rsidTr="00356493">
        <w:trPr>
          <w:trHeight w:val="1785"/>
        </w:trPr>
        <w:tc>
          <w:tcPr>
            <w:tcW w:w="1456" w:type="dxa"/>
            <w:shd w:val="clear" w:color="auto" w:fill="auto"/>
            <w:vAlign w:val="center"/>
            <w:hideMark/>
          </w:tcPr>
          <w:p w14:paraId="0128962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058-2020</w:t>
            </w:r>
          </w:p>
        </w:tc>
        <w:tc>
          <w:tcPr>
            <w:tcW w:w="8175" w:type="dxa"/>
            <w:shd w:val="clear" w:color="auto" w:fill="auto"/>
            <w:hideMark/>
          </w:tcPr>
          <w:p w14:paraId="0D1404E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3703-2020 del Consejo Superior, comunicando acuerdo de sesión 27-2020 del 24 de marzo del 2020, artículo LXXX, sobre el informe 1354-PLA-ES-2019 de la Dirección de Planificación, relacionado con los movimientos ocurridos para la temática de personas fallecidas en Costa Rica por suicidios durante el 2018, atendido por la Comisión mediante oficio CJP041-2020. </w:t>
            </w:r>
          </w:p>
        </w:tc>
      </w:tr>
      <w:tr w:rsidR="00356493" w:rsidRPr="00266BAD" w14:paraId="494CD374" w14:textId="77777777" w:rsidTr="00356493">
        <w:trPr>
          <w:trHeight w:val="1785"/>
        </w:trPr>
        <w:tc>
          <w:tcPr>
            <w:tcW w:w="1456" w:type="dxa"/>
            <w:shd w:val="clear" w:color="auto" w:fill="auto"/>
            <w:vAlign w:val="center"/>
            <w:hideMark/>
          </w:tcPr>
          <w:p w14:paraId="0163886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059-2020</w:t>
            </w:r>
          </w:p>
        </w:tc>
        <w:tc>
          <w:tcPr>
            <w:tcW w:w="8175" w:type="dxa"/>
            <w:shd w:val="clear" w:color="auto" w:fill="auto"/>
            <w:hideMark/>
          </w:tcPr>
          <w:p w14:paraId="62754E6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559-PLA-OI-2020 de la Dirección de Planificación remitiendo informe relacionado al proyecto de mejora integral del proceso penal, sobre algunos aspectos en los Juzgados Penales y Juzgados de Ejecución de la Penal, que se requieren sean analizados por la Comisión. </w:t>
            </w:r>
          </w:p>
        </w:tc>
      </w:tr>
      <w:tr w:rsidR="00356493" w:rsidRPr="00266BAD" w14:paraId="21C409A3" w14:textId="77777777" w:rsidTr="00356493">
        <w:trPr>
          <w:trHeight w:val="1785"/>
        </w:trPr>
        <w:tc>
          <w:tcPr>
            <w:tcW w:w="1456" w:type="dxa"/>
            <w:shd w:val="clear" w:color="auto" w:fill="auto"/>
            <w:vAlign w:val="center"/>
            <w:hideMark/>
          </w:tcPr>
          <w:p w14:paraId="2358E3E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060-2020</w:t>
            </w:r>
          </w:p>
        </w:tc>
        <w:tc>
          <w:tcPr>
            <w:tcW w:w="8175" w:type="dxa"/>
            <w:shd w:val="clear" w:color="auto" w:fill="auto"/>
            <w:hideMark/>
          </w:tcPr>
          <w:p w14:paraId="242B074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3795-2020 de la Secretaría de la Corte, canalizando la gestión del señor </w:t>
            </w:r>
            <w:proofErr w:type="spellStart"/>
            <w:r w:rsidRPr="00266BAD">
              <w:rPr>
                <w:rFonts w:ascii="Cambria" w:eastAsia="Times New Roman" w:hAnsi="Cambria" w:cs="Calibri"/>
                <w:sz w:val="20"/>
                <w:szCs w:val="20"/>
                <w:lang w:eastAsia="es-CR"/>
              </w:rPr>
              <w:t>M.Sc</w:t>
            </w:r>
            <w:proofErr w:type="spellEnd"/>
            <w:r w:rsidRPr="00266BAD">
              <w:rPr>
                <w:rFonts w:ascii="Cambria" w:eastAsia="Times New Roman" w:hAnsi="Cambria" w:cs="Calibri"/>
                <w:sz w:val="20"/>
                <w:szCs w:val="20"/>
                <w:lang w:eastAsia="es-CR"/>
              </w:rPr>
              <w:t xml:space="preserve">. Juan Diego Quirós Delgado, mediante el cual plantea la idea de utilizar las videoconferencias para las audiencias orales. </w:t>
            </w:r>
          </w:p>
        </w:tc>
      </w:tr>
      <w:tr w:rsidR="00356493" w:rsidRPr="00266BAD" w14:paraId="43BB8E54" w14:textId="77777777" w:rsidTr="00356493">
        <w:trPr>
          <w:trHeight w:val="1530"/>
        </w:trPr>
        <w:tc>
          <w:tcPr>
            <w:tcW w:w="1456" w:type="dxa"/>
            <w:shd w:val="clear" w:color="auto" w:fill="auto"/>
            <w:vAlign w:val="center"/>
            <w:hideMark/>
          </w:tcPr>
          <w:p w14:paraId="78B284E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061-2020</w:t>
            </w:r>
          </w:p>
        </w:tc>
        <w:tc>
          <w:tcPr>
            <w:tcW w:w="8175" w:type="dxa"/>
            <w:shd w:val="clear" w:color="auto" w:fill="auto"/>
            <w:hideMark/>
          </w:tcPr>
          <w:p w14:paraId="73A2B30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3741-2020 del Consejo Superior, remitiendo acuerdo de sesión 27-2020 del 24 de marzo del 2020, artículo LXIX, mediante el cual se conoció el oficio 320-PLA-MI-2020, relativo al informe relacionado con el "Modelo de atención del Organismo de Investigación Judicial"</w:t>
            </w:r>
            <w:r>
              <w:rPr>
                <w:rFonts w:ascii="Cambria" w:eastAsia="Times New Roman" w:hAnsi="Cambria" w:cs="Calibri"/>
                <w:sz w:val="20"/>
                <w:szCs w:val="20"/>
                <w:lang w:eastAsia="es-CR"/>
              </w:rPr>
              <w:t>.</w:t>
            </w:r>
          </w:p>
        </w:tc>
      </w:tr>
      <w:tr w:rsidR="00356493" w:rsidRPr="00266BAD" w14:paraId="0CA5CBF3" w14:textId="77777777" w:rsidTr="00356493">
        <w:trPr>
          <w:trHeight w:val="1785"/>
        </w:trPr>
        <w:tc>
          <w:tcPr>
            <w:tcW w:w="1456" w:type="dxa"/>
            <w:shd w:val="clear" w:color="auto" w:fill="auto"/>
            <w:vAlign w:val="center"/>
            <w:hideMark/>
          </w:tcPr>
          <w:p w14:paraId="0D50048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062-2020</w:t>
            </w:r>
          </w:p>
        </w:tc>
        <w:tc>
          <w:tcPr>
            <w:tcW w:w="8175" w:type="dxa"/>
            <w:shd w:val="clear" w:color="auto" w:fill="auto"/>
            <w:hideMark/>
          </w:tcPr>
          <w:p w14:paraId="51CBA5D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3802-2020 del Consejo Superior, remitiendo acuerdo de sesión 30-2020 del 31 de marzo del 2020, artículo XXV, mediante el cual se conoció el oficio 2173-PLA-OI-2019, relacionado con el análisis del tema de disponibilidad que atienden las juezas del Juzgado Penal de Cartago en materias especializadas como Penal Juvenil, Pensiones, Contravenciones y ejecución de la pena. </w:t>
            </w:r>
          </w:p>
        </w:tc>
      </w:tr>
      <w:tr w:rsidR="00356493" w:rsidRPr="00266BAD" w14:paraId="18606580" w14:textId="77777777" w:rsidTr="00356493">
        <w:trPr>
          <w:trHeight w:val="1530"/>
        </w:trPr>
        <w:tc>
          <w:tcPr>
            <w:tcW w:w="1456" w:type="dxa"/>
            <w:shd w:val="clear" w:color="auto" w:fill="auto"/>
            <w:vAlign w:val="center"/>
            <w:hideMark/>
          </w:tcPr>
          <w:p w14:paraId="4F8DEE8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063-2020</w:t>
            </w:r>
          </w:p>
        </w:tc>
        <w:tc>
          <w:tcPr>
            <w:tcW w:w="8175" w:type="dxa"/>
            <w:shd w:val="clear" w:color="auto" w:fill="auto"/>
            <w:hideMark/>
          </w:tcPr>
          <w:p w14:paraId="1303EB2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3631-2020 del Consejo Superior, remitiendo acuerdo de sesión 27-2020 del 24 de marzo del 2020, artículo XXV, mediante el cual se conoció el tema referente al informe relacionado con los accesos, permisos y perfiles creados para el registro de anotaciones en el Sistema de Registro Electrónico de Mandamientos (SREM)</w:t>
            </w:r>
            <w:r>
              <w:rPr>
                <w:rFonts w:ascii="Cambria" w:eastAsia="Times New Roman" w:hAnsi="Cambria" w:cs="Calibri"/>
                <w:sz w:val="20"/>
                <w:szCs w:val="20"/>
                <w:lang w:eastAsia="es-CR"/>
              </w:rPr>
              <w:t>.</w:t>
            </w:r>
          </w:p>
        </w:tc>
      </w:tr>
      <w:tr w:rsidR="00356493" w:rsidRPr="00266BAD" w14:paraId="44A90082" w14:textId="77777777" w:rsidTr="00356493">
        <w:trPr>
          <w:trHeight w:val="2550"/>
        </w:trPr>
        <w:tc>
          <w:tcPr>
            <w:tcW w:w="1456" w:type="dxa"/>
            <w:shd w:val="clear" w:color="auto" w:fill="auto"/>
            <w:vAlign w:val="center"/>
            <w:hideMark/>
          </w:tcPr>
          <w:p w14:paraId="4522936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064-2020</w:t>
            </w:r>
          </w:p>
        </w:tc>
        <w:tc>
          <w:tcPr>
            <w:tcW w:w="8175" w:type="dxa"/>
            <w:shd w:val="clear" w:color="auto" w:fill="auto"/>
            <w:hideMark/>
          </w:tcPr>
          <w:p w14:paraId="5A7E91B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3745-2020 del Consejo Superior, remitiendo acuerdo de sesión 24-2020, del 19 de marzo del 2020, artículo XV, mediante el cual se conoció el oficio DJ-C-105-2020, sobre la negativa del Organismo de Investigación Judicial de realizar ordenes de presentación en materia Contravencional. </w:t>
            </w:r>
          </w:p>
        </w:tc>
      </w:tr>
      <w:tr w:rsidR="00356493" w:rsidRPr="00266BAD" w14:paraId="549F2FE3" w14:textId="77777777" w:rsidTr="00356493">
        <w:trPr>
          <w:trHeight w:val="1530"/>
        </w:trPr>
        <w:tc>
          <w:tcPr>
            <w:tcW w:w="1456" w:type="dxa"/>
            <w:shd w:val="clear" w:color="auto" w:fill="auto"/>
            <w:vAlign w:val="center"/>
            <w:hideMark/>
          </w:tcPr>
          <w:p w14:paraId="22854BB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065-2020</w:t>
            </w:r>
          </w:p>
        </w:tc>
        <w:tc>
          <w:tcPr>
            <w:tcW w:w="8175" w:type="dxa"/>
            <w:shd w:val="clear" w:color="auto" w:fill="auto"/>
            <w:hideMark/>
          </w:tcPr>
          <w:p w14:paraId="6EB5EF0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3863-2020 del Consejo Superior, remitiendo acuerdo de sesión 38-2020 del 17 de abril del 2020, artículo I, sobre el oficio PJ-DGH-CAP-022-2020, de la Dirección de Gestión Humana remitió la proyección presupuestaria para permisos con goce de salario con sustitución para personal judicial becado, así como ayudas económicas para actividades de capacitación y becas correspondientes al año 2021. </w:t>
            </w:r>
          </w:p>
        </w:tc>
      </w:tr>
      <w:tr w:rsidR="00356493" w:rsidRPr="00266BAD" w14:paraId="05E38697" w14:textId="77777777" w:rsidTr="00356493">
        <w:trPr>
          <w:trHeight w:val="1785"/>
        </w:trPr>
        <w:tc>
          <w:tcPr>
            <w:tcW w:w="1456" w:type="dxa"/>
            <w:shd w:val="clear" w:color="auto" w:fill="auto"/>
            <w:vAlign w:val="center"/>
            <w:hideMark/>
          </w:tcPr>
          <w:p w14:paraId="79FD039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066-2020</w:t>
            </w:r>
          </w:p>
        </w:tc>
        <w:tc>
          <w:tcPr>
            <w:tcW w:w="8175" w:type="dxa"/>
            <w:shd w:val="clear" w:color="auto" w:fill="auto"/>
            <w:hideMark/>
          </w:tcPr>
          <w:p w14:paraId="7A7F6F7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3958-2020 del Consejo Superior, de sesión 32-2020, del 2 de abril del 2020, artículo LX, relativo al oficio 1623-PLA-ES-2019 de la Dirección de Planificación, sobre los movimientos de trabajo de los Juzgados Penales Juveniles, durante el 2018</w:t>
            </w:r>
            <w:r>
              <w:rPr>
                <w:rFonts w:ascii="Cambria" w:eastAsia="Times New Roman" w:hAnsi="Cambria" w:cs="Calibri"/>
                <w:sz w:val="20"/>
                <w:szCs w:val="20"/>
                <w:lang w:eastAsia="es-CR"/>
              </w:rPr>
              <w:t>.</w:t>
            </w:r>
          </w:p>
        </w:tc>
      </w:tr>
      <w:tr w:rsidR="00356493" w:rsidRPr="00266BAD" w14:paraId="551771AF" w14:textId="77777777" w:rsidTr="00356493">
        <w:trPr>
          <w:trHeight w:val="1785"/>
        </w:trPr>
        <w:tc>
          <w:tcPr>
            <w:tcW w:w="1456" w:type="dxa"/>
            <w:shd w:val="clear" w:color="auto" w:fill="auto"/>
            <w:vAlign w:val="center"/>
            <w:hideMark/>
          </w:tcPr>
          <w:p w14:paraId="04AF136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067-2020</w:t>
            </w:r>
          </w:p>
        </w:tc>
        <w:tc>
          <w:tcPr>
            <w:tcW w:w="8175" w:type="dxa"/>
            <w:shd w:val="clear" w:color="auto" w:fill="auto"/>
            <w:hideMark/>
          </w:tcPr>
          <w:p w14:paraId="4B88AB1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3906-2020 del Consejo Superior, comunicando acuerdo de sesión 38-2020 del 17 de abril del 2020, artículo VIII, sobre la información concerniente a la formulación presupuestaria para el 2021. </w:t>
            </w:r>
          </w:p>
        </w:tc>
      </w:tr>
      <w:tr w:rsidR="00356493" w:rsidRPr="00266BAD" w14:paraId="5EF12070" w14:textId="77777777" w:rsidTr="00356493">
        <w:trPr>
          <w:trHeight w:val="1530"/>
        </w:trPr>
        <w:tc>
          <w:tcPr>
            <w:tcW w:w="1456" w:type="dxa"/>
            <w:shd w:val="clear" w:color="auto" w:fill="auto"/>
            <w:vAlign w:val="center"/>
            <w:hideMark/>
          </w:tcPr>
          <w:p w14:paraId="7F711D7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068-2020</w:t>
            </w:r>
          </w:p>
        </w:tc>
        <w:tc>
          <w:tcPr>
            <w:tcW w:w="8175" w:type="dxa"/>
            <w:shd w:val="clear" w:color="auto" w:fill="auto"/>
            <w:hideMark/>
          </w:tcPr>
          <w:p w14:paraId="3185393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610-PLA-2020 de la Dirección de Planificación, sobre circular 57-2020, donde se acordó valorar los casos que actualmente se encuentran con prisión preventiva próximos a vencer, durante abril, mayo y junio se solicita a la Comisión implementar el desarrollo de protocolo de actuación en audiencias virtuales mediante el uso de software Microsoft Teams, y dar seguimiento. </w:t>
            </w:r>
          </w:p>
        </w:tc>
      </w:tr>
      <w:tr w:rsidR="00356493" w:rsidRPr="00266BAD" w14:paraId="5AA8EDFD" w14:textId="77777777" w:rsidTr="00356493">
        <w:trPr>
          <w:trHeight w:val="1785"/>
        </w:trPr>
        <w:tc>
          <w:tcPr>
            <w:tcW w:w="1456" w:type="dxa"/>
            <w:shd w:val="clear" w:color="auto" w:fill="auto"/>
            <w:vAlign w:val="center"/>
            <w:hideMark/>
          </w:tcPr>
          <w:p w14:paraId="637655A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069-2020</w:t>
            </w:r>
          </w:p>
        </w:tc>
        <w:tc>
          <w:tcPr>
            <w:tcW w:w="8175" w:type="dxa"/>
            <w:shd w:val="clear" w:color="auto" w:fill="auto"/>
            <w:hideMark/>
          </w:tcPr>
          <w:p w14:paraId="4DC005B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4069-2020 del Consejo Superior, comunicando acuerdo de sesión 40-2020 del 23 de abril del 2020, artículo LXXVII, sobre la inclusión a las circulares del Covid-19, lo concerniente a la materia Penal Juvenil. </w:t>
            </w:r>
          </w:p>
        </w:tc>
      </w:tr>
      <w:tr w:rsidR="00356493" w:rsidRPr="00266BAD" w14:paraId="67515520" w14:textId="77777777" w:rsidTr="00356493">
        <w:trPr>
          <w:trHeight w:val="1530"/>
        </w:trPr>
        <w:tc>
          <w:tcPr>
            <w:tcW w:w="1456" w:type="dxa"/>
            <w:shd w:val="clear" w:color="auto" w:fill="auto"/>
            <w:vAlign w:val="center"/>
            <w:hideMark/>
          </w:tcPr>
          <w:p w14:paraId="1DBEE3F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070-2020</w:t>
            </w:r>
          </w:p>
        </w:tc>
        <w:tc>
          <w:tcPr>
            <w:tcW w:w="8175" w:type="dxa"/>
            <w:shd w:val="clear" w:color="auto" w:fill="auto"/>
            <w:hideMark/>
          </w:tcPr>
          <w:p w14:paraId="3F3B770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623-PLA-EV-2020 de la Dirección de Planificación en atención al oficio de la Comisión CJP034-2020 al respecto del informe 278-PLA-EV-2020 del Plan Estratégico Institucional 2013-2018. </w:t>
            </w:r>
          </w:p>
        </w:tc>
      </w:tr>
      <w:tr w:rsidR="00356493" w:rsidRPr="00266BAD" w14:paraId="020469C7" w14:textId="77777777" w:rsidTr="00356493">
        <w:trPr>
          <w:trHeight w:val="1785"/>
        </w:trPr>
        <w:tc>
          <w:tcPr>
            <w:tcW w:w="1456" w:type="dxa"/>
            <w:shd w:val="clear" w:color="auto" w:fill="auto"/>
            <w:vAlign w:val="center"/>
            <w:hideMark/>
          </w:tcPr>
          <w:p w14:paraId="363B9ED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071-2020</w:t>
            </w:r>
          </w:p>
        </w:tc>
        <w:tc>
          <w:tcPr>
            <w:tcW w:w="8175" w:type="dxa"/>
            <w:shd w:val="clear" w:color="auto" w:fill="auto"/>
            <w:hideMark/>
          </w:tcPr>
          <w:p w14:paraId="28488AE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4080-20 del Consejo Superior, de sesión 41-2020 del 28 de abril del 2020, artículo LXXXV, donde se conoció el oficio 516-PLA-2020, sobre los instrumentos de medición para los despachos judiciales oficio 31-Mag.2.SCP-2020.</w:t>
            </w:r>
          </w:p>
        </w:tc>
      </w:tr>
      <w:tr w:rsidR="00356493" w:rsidRPr="00266BAD" w14:paraId="4EEBDCD8" w14:textId="77777777" w:rsidTr="00356493">
        <w:trPr>
          <w:trHeight w:val="1785"/>
        </w:trPr>
        <w:tc>
          <w:tcPr>
            <w:tcW w:w="1456" w:type="dxa"/>
            <w:shd w:val="clear" w:color="auto" w:fill="auto"/>
            <w:vAlign w:val="center"/>
            <w:hideMark/>
          </w:tcPr>
          <w:p w14:paraId="7E5AA5D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072-2020</w:t>
            </w:r>
          </w:p>
        </w:tc>
        <w:tc>
          <w:tcPr>
            <w:tcW w:w="8175" w:type="dxa"/>
            <w:shd w:val="clear" w:color="auto" w:fill="auto"/>
            <w:hideMark/>
          </w:tcPr>
          <w:p w14:paraId="769861C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4023-2020 del Consejo Superior, comunicando acuerdo de sesión 38-2020 del 17 de abril del 2020, artículo X, sobre lo concerniente a la formulación presupuestaria para el 2021 de las subpartidas 10701 y 10702 sobre actividades de capacitación y protocolarias. </w:t>
            </w:r>
          </w:p>
        </w:tc>
      </w:tr>
      <w:tr w:rsidR="00356493" w:rsidRPr="00266BAD" w14:paraId="3F5461E7" w14:textId="77777777" w:rsidTr="00356493">
        <w:trPr>
          <w:trHeight w:val="1785"/>
        </w:trPr>
        <w:tc>
          <w:tcPr>
            <w:tcW w:w="1456" w:type="dxa"/>
            <w:shd w:val="clear" w:color="auto" w:fill="auto"/>
            <w:vAlign w:val="center"/>
            <w:hideMark/>
          </w:tcPr>
          <w:p w14:paraId="4984244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073-2020</w:t>
            </w:r>
          </w:p>
        </w:tc>
        <w:tc>
          <w:tcPr>
            <w:tcW w:w="8175" w:type="dxa"/>
            <w:shd w:val="clear" w:color="auto" w:fill="auto"/>
            <w:hideMark/>
          </w:tcPr>
          <w:p w14:paraId="6D71BC5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parte del despacho de la Presidencia de la Corte, de fecha 05 de mayo del 2020, mediante el cual remite el oficio INAMU-PE-0270-2020, mediante el cual solicitan al Poder Judicial, definir directrices para impulsar políticas nacionales para la igualdad y equidad de género, con las instituciones públicas las instancias estatales que desarrollan programas para las mujeres y las organizaciones sociales ante en el contexto de la pandemia por el Covid-19, en resguardo de la niñez</w:t>
            </w:r>
            <w:r>
              <w:rPr>
                <w:rFonts w:ascii="Cambria" w:eastAsia="Times New Roman" w:hAnsi="Cambria" w:cs="Calibri"/>
                <w:sz w:val="20"/>
                <w:szCs w:val="20"/>
                <w:lang w:eastAsia="es-CR"/>
              </w:rPr>
              <w:t>.</w:t>
            </w:r>
          </w:p>
        </w:tc>
      </w:tr>
      <w:tr w:rsidR="00356493" w:rsidRPr="00266BAD" w14:paraId="22540009" w14:textId="77777777" w:rsidTr="00356493">
        <w:trPr>
          <w:trHeight w:val="2295"/>
        </w:trPr>
        <w:tc>
          <w:tcPr>
            <w:tcW w:w="1456" w:type="dxa"/>
            <w:shd w:val="clear" w:color="auto" w:fill="auto"/>
            <w:vAlign w:val="center"/>
            <w:hideMark/>
          </w:tcPr>
          <w:p w14:paraId="233CA93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074-2020</w:t>
            </w:r>
          </w:p>
        </w:tc>
        <w:tc>
          <w:tcPr>
            <w:tcW w:w="8175" w:type="dxa"/>
            <w:shd w:val="clear" w:color="auto" w:fill="auto"/>
            <w:hideMark/>
          </w:tcPr>
          <w:p w14:paraId="69349C1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Nelson Campos Vega, de fecha 6 de mayo del 2020, mediante el cual consulta a la Comisión al respecto de los sobreseimientos definitivo y otras gestiones. </w:t>
            </w:r>
          </w:p>
        </w:tc>
      </w:tr>
      <w:tr w:rsidR="00356493" w:rsidRPr="00266BAD" w14:paraId="21A58504" w14:textId="77777777" w:rsidTr="00356493">
        <w:trPr>
          <w:trHeight w:val="2100"/>
        </w:trPr>
        <w:tc>
          <w:tcPr>
            <w:tcW w:w="1456" w:type="dxa"/>
            <w:shd w:val="clear" w:color="auto" w:fill="auto"/>
            <w:vAlign w:val="center"/>
            <w:hideMark/>
          </w:tcPr>
          <w:p w14:paraId="0B92142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075-2020</w:t>
            </w:r>
          </w:p>
        </w:tc>
        <w:tc>
          <w:tcPr>
            <w:tcW w:w="8175" w:type="dxa"/>
            <w:shd w:val="clear" w:color="auto" w:fill="auto"/>
            <w:hideMark/>
          </w:tcPr>
          <w:p w14:paraId="7E1C604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653-PLA-ES-2020, de la Dirección de Planificación, remitiendo informe sobre los movimientos de trabajo del Tribunal de Apelación de Sentencia Penal Juvenil del Segundo Circuito Judicial de San José, durante el 2019 y el último quinquenio. </w:t>
            </w:r>
          </w:p>
        </w:tc>
      </w:tr>
      <w:tr w:rsidR="00356493" w:rsidRPr="00266BAD" w14:paraId="7D4BE590" w14:textId="77777777" w:rsidTr="00356493">
        <w:trPr>
          <w:trHeight w:val="1800"/>
        </w:trPr>
        <w:tc>
          <w:tcPr>
            <w:tcW w:w="1456" w:type="dxa"/>
            <w:shd w:val="clear" w:color="auto" w:fill="auto"/>
            <w:vAlign w:val="center"/>
            <w:hideMark/>
          </w:tcPr>
          <w:p w14:paraId="65ECB76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076-2020</w:t>
            </w:r>
          </w:p>
        </w:tc>
        <w:tc>
          <w:tcPr>
            <w:tcW w:w="8175" w:type="dxa"/>
            <w:shd w:val="clear" w:color="auto" w:fill="auto"/>
            <w:hideMark/>
          </w:tcPr>
          <w:p w14:paraId="4544D92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DP-26-2020 del Despacho de la presidencia, mediante el cual le solicitan a la Comisión de parte de la Comisión de Emergencias, la remisión de una propuesta sobre la implementación de aquellos servicios que paulatinamente se tendrán que reanudar en vista a la flexibilización de las medidas adoptadas por el Poder Ejecutivo, ante la declaratoria de emergencia por el Covid-19. </w:t>
            </w:r>
          </w:p>
        </w:tc>
      </w:tr>
      <w:tr w:rsidR="00356493" w:rsidRPr="00266BAD" w14:paraId="6AF9CE87" w14:textId="77777777" w:rsidTr="00356493">
        <w:trPr>
          <w:trHeight w:val="1785"/>
        </w:trPr>
        <w:tc>
          <w:tcPr>
            <w:tcW w:w="1456" w:type="dxa"/>
            <w:shd w:val="clear" w:color="auto" w:fill="auto"/>
            <w:vAlign w:val="center"/>
            <w:hideMark/>
          </w:tcPr>
          <w:p w14:paraId="63B2C63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077-2020</w:t>
            </w:r>
          </w:p>
        </w:tc>
        <w:tc>
          <w:tcPr>
            <w:tcW w:w="8175" w:type="dxa"/>
            <w:shd w:val="clear" w:color="auto" w:fill="auto"/>
            <w:hideMark/>
          </w:tcPr>
          <w:p w14:paraId="5C6A097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666-PLA-2020 de la Dirección de Planificación solicitando lineamientos en cuanto a las audiencias </w:t>
            </w:r>
            <w:proofErr w:type="spellStart"/>
            <w:r w:rsidRPr="00266BAD">
              <w:rPr>
                <w:rFonts w:ascii="Cambria" w:eastAsia="Times New Roman" w:hAnsi="Cambria" w:cs="Calibri"/>
                <w:sz w:val="20"/>
                <w:szCs w:val="20"/>
                <w:lang w:eastAsia="es-CR"/>
              </w:rPr>
              <w:t>orlaes</w:t>
            </w:r>
            <w:proofErr w:type="spellEnd"/>
            <w:r w:rsidRPr="00266BAD">
              <w:rPr>
                <w:rFonts w:ascii="Cambria" w:eastAsia="Times New Roman" w:hAnsi="Cambria" w:cs="Calibri"/>
                <w:sz w:val="20"/>
                <w:szCs w:val="20"/>
                <w:lang w:eastAsia="es-CR"/>
              </w:rPr>
              <w:t xml:space="preserve"> en materia contravencional</w:t>
            </w:r>
            <w:r>
              <w:rPr>
                <w:rFonts w:ascii="Cambria" w:eastAsia="Times New Roman" w:hAnsi="Cambria" w:cs="Calibri"/>
                <w:sz w:val="20"/>
                <w:szCs w:val="20"/>
                <w:lang w:eastAsia="es-CR"/>
              </w:rPr>
              <w:t>.</w:t>
            </w:r>
          </w:p>
        </w:tc>
      </w:tr>
      <w:tr w:rsidR="00356493" w:rsidRPr="00266BAD" w14:paraId="423CFA3D" w14:textId="77777777" w:rsidTr="00356493">
        <w:trPr>
          <w:trHeight w:val="1785"/>
        </w:trPr>
        <w:tc>
          <w:tcPr>
            <w:tcW w:w="1456" w:type="dxa"/>
            <w:shd w:val="clear" w:color="auto" w:fill="auto"/>
            <w:vAlign w:val="center"/>
            <w:hideMark/>
          </w:tcPr>
          <w:p w14:paraId="0C75090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078-2020</w:t>
            </w:r>
          </w:p>
        </w:tc>
        <w:tc>
          <w:tcPr>
            <w:tcW w:w="8175" w:type="dxa"/>
            <w:shd w:val="clear" w:color="auto" w:fill="auto"/>
            <w:hideMark/>
          </w:tcPr>
          <w:p w14:paraId="00E73DD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671-PLA-EV-MI-2020, de la Dirección de Planificación, mediante el cual nos remite copia de la solicitud de diseñar un protocolo para la atención de asuntos en forma virtual en audiencias de tránsito. </w:t>
            </w:r>
          </w:p>
        </w:tc>
      </w:tr>
      <w:tr w:rsidR="00356493" w:rsidRPr="00266BAD" w14:paraId="02A11435" w14:textId="77777777" w:rsidTr="00356493">
        <w:trPr>
          <w:trHeight w:val="1785"/>
        </w:trPr>
        <w:tc>
          <w:tcPr>
            <w:tcW w:w="1456" w:type="dxa"/>
            <w:shd w:val="clear" w:color="auto" w:fill="auto"/>
            <w:vAlign w:val="center"/>
            <w:hideMark/>
          </w:tcPr>
          <w:p w14:paraId="3858BD6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079-2020</w:t>
            </w:r>
          </w:p>
        </w:tc>
        <w:tc>
          <w:tcPr>
            <w:tcW w:w="8175" w:type="dxa"/>
            <w:shd w:val="clear" w:color="auto" w:fill="auto"/>
            <w:hideMark/>
          </w:tcPr>
          <w:p w14:paraId="3F678D3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4190-20 del Consejo Superior, comunicando acuerdo de sesión 28-2020 del 26 de marzo del 2020, artículo XLV, donde se conoció el informe 389-PLA-ES-2020, sobre los movimientos de trabajo del Juzgado de Ejecución de la Pena, durante el 2018 y último quinquenio</w:t>
            </w:r>
            <w:r>
              <w:rPr>
                <w:rFonts w:ascii="Cambria" w:eastAsia="Times New Roman" w:hAnsi="Cambria" w:cs="Calibri"/>
                <w:sz w:val="20"/>
                <w:szCs w:val="20"/>
                <w:lang w:eastAsia="es-CR"/>
              </w:rPr>
              <w:t>.</w:t>
            </w:r>
          </w:p>
        </w:tc>
      </w:tr>
      <w:tr w:rsidR="00356493" w:rsidRPr="00266BAD" w14:paraId="736482BD" w14:textId="77777777" w:rsidTr="00356493">
        <w:trPr>
          <w:trHeight w:val="1785"/>
        </w:trPr>
        <w:tc>
          <w:tcPr>
            <w:tcW w:w="1456" w:type="dxa"/>
            <w:shd w:val="clear" w:color="auto" w:fill="auto"/>
            <w:vAlign w:val="center"/>
            <w:hideMark/>
          </w:tcPr>
          <w:p w14:paraId="7890E29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080-2020</w:t>
            </w:r>
          </w:p>
        </w:tc>
        <w:tc>
          <w:tcPr>
            <w:tcW w:w="8175" w:type="dxa"/>
            <w:shd w:val="clear" w:color="auto" w:fill="auto"/>
            <w:hideMark/>
          </w:tcPr>
          <w:p w14:paraId="69516A3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674-PLA-ES-2020, de la Dirección de Planificación mediante el cual remiten listado de los tipos de audiencias, estados y motivos de cancelación de debates señalados que se reflejan en los informes de Agenda Cronos, para la generación de informes en materia penal. </w:t>
            </w:r>
          </w:p>
        </w:tc>
      </w:tr>
      <w:tr w:rsidR="00356493" w:rsidRPr="00266BAD" w14:paraId="579B8E11" w14:textId="77777777" w:rsidTr="00356493">
        <w:trPr>
          <w:trHeight w:val="1785"/>
        </w:trPr>
        <w:tc>
          <w:tcPr>
            <w:tcW w:w="1456" w:type="dxa"/>
            <w:shd w:val="clear" w:color="auto" w:fill="auto"/>
            <w:vAlign w:val="center"/>
            <w:hideMark/>
          </w:tcPr>
          <w:p w14:paraId="71F886C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081-2020</w:t>
            </w:r>
          </w:p>
        </w:tc>
        <w:tc>
          <w:tcPr>
            <w:tcW w:w="8175" w:type="dxa"/>
            <w:shd w:val="clear" w:color="auto" w:fill="auto"/>
            <w:hideMark/>
          </w:tcPr>
          <w:p w14:paraId="6657F69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DVV-S1-060-2020 de la Magistrada Damaris Vargas, mediante la cual invita a participar de una capacitación sobre el Sistema de Monitoreo de Cambios de Uso de la Tierra en Paisajes Productivos, para la semana del 25 al 29 de mayo del 2020. </w:t>
            </w:r>
          </w:p>
        </w:tc>
      </w:tr>
      <w:tr w:rsidR="00356493" w:rsidRPr="00266BAD" w14:paraId="6B517D1E" w14:textId="77777777" w:rsidTr="00356493">
        <w:trPr>
          <w:trHeight w:val="1530"/>
        </w:trPr>
        <w:tc>
          <w:tcPr>
            <w:tcW w:w="1456" w:type="dxa"/>
            <w:shd w:val="clear" w:color="auto" w:fill="auto"/>
            <w:vAlign w:val="center"/>
            <w:hideMark/>
          </w:tcPr>
          <w:p w14:paraId="05A5F72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082-2020</w:t>
            </w:r>
          </w:p>
        </w:tc>
        <w:tc>
          <w:tcPr>
            <w:tcW w:w="8175" w:type="dxa"/>
            <w:shd w:val="clear" w:color="auto" w:fill="auto"/>
            <w:hideMark/>
          </w:tcPr>
          <w:p w14:paraId="4B071F8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señora Sara Jiménez Torres de la Contraloría de Servicios, de fecha 11 de mayo del 2020, mediante el cual solicita el criterio de la Comisión al respecto de una audiencia que no se realizó y el Ministerio Público no aviso a los testigos, los cuales sí se presentaron y generó molestias</w:t>
            </w:r>
            <w:r>
              <w:rPr>
                <w:rFonts w:ascii="Cambria" w:eastAsia="Times New Roman" w:hAnsi="Cambria" w:cs="Calibri"/>
                <w:sz w:val="20"/>
                <w:szCs w:val="20"/>
                <w:lang w:eastAsia="es-CR"/>
              </w:rPr>
              <w:t>.</w:t>
            </w:r>
          </w:p>
        </w:tc>
      </w:tr>
      <w:tr w:rsidR="00356493" w:rsidRPr="00266BAD" w14:paraId="69DD17A8" w14:textId="77777777" w:rsidTr="00356493">
        <w:trPr>
          <w:trHeight w:val="2295"/>
        </w:trPr>
        <w:tc>
          <w:tcPr>
            <w:tcW w:w="1456" w:type="dxa"/>
            <w:shd w:val="clear" w:color="auto" w:fill="auto"/>
            <w:vAlign w:val="center"/>
            <w:hideMark/>
          </w:tcPr>
          <w:p w14:paraId="3039EA8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083-2020</w:t>
            </w:r>
          </w:p>
        </w:tc>
        <w:tc>
          <w:tcPr>
            <w:tcW w:w="8175" w:type="dxa"/>
            <w:shd w:val="clear" w:color="auto" w:fill="auto"/>
            <w:hideMark/>
          </w:tcPr>
          <w:p w14:paraId="38E5FB0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del señor Danny Durán Cerdas de fecha 11 de mayo del 2020, mediante el cual solicita autorización para realizar vista oral, por medio de la plataforma MS Teams</w:t>
            </w:r>
            <w:r>
              <w:rPr>
                <w:rFonts w:ascii="Cambria" w:eastAsia="Times New Roman" w:hAnsi="Cambria" w:cs="Calibri"/>
                <w:sz w:val="20"/>
                <w:szCs w:val="20"/>
                <w:lang w:eastAsia="es-CR"/>
              </w:rPr>
              <w:t>.</w:t>
            </w:r>
          </w:p>
        </w:tc>
      </w:tr>
      <w:tr w:rsidR="00356493" w:rsidRPr="00266BAD" w14:paraId="78802172" w14:textId="77777777" w:rsidTr="00356493">
        <w:trPr>
          <w:trHeight w:val="1785"/>
        </w:trPr>
        <w:tc>
          <w:tcPr>
            <w:tcW w:w="1456" w:type="dxa"/>
            <w:shd w:val="clear" w:color="auto" w:fill="auto"/>
            <w:vAlign w:val="center"/>
            <w:hideMark/>
          </w:tcPr>
          <w:p w14:paraId="61E1847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084-2020</w:t>
            </w:r>
          </w:p>
        </w:tc>
        <w:tc>
          <w:tcPr>
            <w:tcW w:w="8175" w:type="dxa"/>
            <w:shd w:val="clear" w:color="auto" w:fill="auto"/>
            <w:hideMark/>
          </w:tcPr>
          <w:p w14:paraId="23A47DF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4363-2020 del Consejo Superior, remitiendo acuerdo de sesión 43-2020 del 5 de mayo del 2020, artículo LXII, donde se atendió el oficio 32-Mag.2.SCP-2020, relativo a la modificación del acuerdo del Consejo Superior en el artículo I, punto 2.2.1.6.3, publicado en la circular 66-2020. </w:t>
            </w:r>
          </w:p>
        </w:tc>
      </w:tr>
      <w:tr w:rsidR="00356493" w:rsidRPr="00266BAD" w14:paraId="4C07D2F8" w14:textId="77777777" w:rsidTr="00356493">
        <w:trPr>
          <w:trHeight w:val="1020"/>
        </w:trPr>
        <w:tc>
          <w:tcPr>
            <w:tcW w:w="1456" w:type="dxa"/>
            <w:shd w:val="clear" w:color="auto" w:fill="auto"/>
            <w:vAlign w:val="center"/>
            <w:hideMark/>
          </w:tcPr>
          <w:p w14:paraId="66901AA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085-2020</w:t>
            </w:r>
          </w:p>
        </w:tc>
        <w:tc>
          <w:tcPr>
            <w:tcW w:w="8175" w:type="dxa"/>
            <w:shd w:val="clear" w:color="auto" w:fill="auto"/>
            <w:hideMark/>
          </w:tcPr>
          <w:p w14:paraId="415A9B6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4346-2020 del Consejo Superior, mediante el cual remite el acuerdo del 21 de abril del 2020, de sesión 39-2020, artículo XXI, relativo al oficio 424-56-SAO-2020 del estudio "Evaluación operativa en la fiscalía adjunta de ejecución de la pena"</w:t>
            </w:r>
            <w:r>
              <w:rPr>
                <w:rFonts w:ascii="Cambria" w:eastAsia="Times New Roman" w:hAnsi="Cambria" w:cs="Calibri"/>
                <w:sz w:val="20"/>
                <w:szCs w:val="20"/>
                <w:lang w:eastAsia="es-CR"/>
              </w:rPr>
              <w:t>.</w:t>
            </w:r>
          </w:p>
        </w:tc>
      </w:tr>
      <w:tr w:rsidR="00356493" w:rsidRPr="00266BAD" w14:paraId="33CCDF02" w14:textId="77777777" w:rsidTr="00356493">
        <w:trPr>
          <w:trHeight w:val="2100"/>
        </w:trPr>
        <w:tc>
          <w:tcPr>
            <w:tcW w:w="1456" w:type="dxa"/>
            <w:shd w:val="clear" w:color="auto" w:fill="auto"/>
            <w:vAlign w:val="center"/>
            <w:hideMark/>
          </w:tcPr>
          <w:p w14:paraId="6335622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086-2020</w:t>
            </w:r>
          </w:p>
        </w:tc>
        <w:tc>
          <w:tcPr>
            <w:tcW w:w="8175" w:type="dxa"/>
            <w:shd w:val="clear" w:color="auto" w:fill="auto"/>
            <w:hideMark/>
          </w:tcPr>
          <w:p w14:paraId="1203B89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señora Catalina Espinoza Sáenz de la Escuela Judicial, de fecha 11 de mayo del 2020, mediante el cual nos remite la propuesta de evaluación para materia penal, para que se revise y se realicen observaciones o una propuesta</w:t>
            </w:r>
            <w:r>
              <w:rPr>
                <w:rFonts w:ascii="Cambria" w:eastAsia="Times New Roman" w:hAnsi="Cambria" w:cs="Calibri"/>
                <w:sz w:val="20"/>
                <w:szCs w:val="20"/>
                <w:lang w:eastAsia="es-CR"/>
              </w:rPr>
              <w:t>.</w:t>
            </w:r>
          </w:p>
        </w:tc>
      </w:tr>
      <w:tr w:rsidR="00356493" w:rsidRPr="00266BAD" w14:paraId="5E3D3001" w14:textId="77777777" w:rsidTr="00356493">
        <w:trPr>
          <w:trHeight w:val="1785"/>
        </w:trPr>
        <w:tc>
          <w:tcPr>
            <w:tcW w:w="1456" w:type="dxa"/>
            <w:shd w:val="clear" w:color="auto" w:fill="auto"/>
            <w:vAlign w:val="center"/>
            <w:hideMark/>
          </w:tcPr>
          <w:p w14:paraId="5594100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087-2020</w:t>
            </w:r>
          </w:p>
        </w:tc>
        <w:tc>
          <w:tcPr>
            <w:tcW w:w="8175" w:type="dxa"/>
            <w:shd w:val="clear" w:color="auto" w:fill="auto"/>
            <w:hideMark/>
          </w:tcPr>
          <w:p w14:paraId="2C373D7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4389-20 del Consejo Superior, comunicando acuerdo de sesión 41-2020 del 28 de abril del 2020, artículo XXXII, relativo al oficio 547-PLA-OI-2020 y 285-PLA-OI-2020, del rediseño del proceso penal en la sección de Flagrancia de Liberia, atendido por la Comisión mediante oficio CJP066-2020. </w:t>
            </w:r>
          </w:p>
        </w:tc>
      </w:tr>
      <w:tr w:rsidR="00356493" w:rsidRPr="00266BAD" w14:paraId="0763CD4D" w14:textId="77777777" w:rsidTr="00356493">
        <w:trPr>
          <w:trHeight w:val="1785"/>
        </w:trPr>
        <w:tc>
          <w:tcPr>
            <w:tcW w:w="1456" w:type="dxa"/>
            <w:shd w:val="clear" w:color="auto" w:fill="auto"/>
            <w:vAlign w:val="center"/>
            <w:hideMark/>
          </w:tcPr>
          <w:p w14:paraId="6C677E4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088-2020</w:t>
            </w:r>
          </w:p>
        </w:tc>
        <w:tc>
          <w:tcPr>
            <w:tcW w:w="8175" w:type="dxa"/>
            <w:shd w:val="clear" w:color="auto" w:fill="auto"/>
            <w:hideMark/>
          </w:tcPr>
          <w:p w14:paraId="5964B43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4520-2020 de Corte Plena, comunicando acuerdo de sesión 22-2020 del 27 de abril del 2020, artículo XVI, sobre la temática de la designación de defensores públicos en materia contravencional, atendido por la Comisión en el oficio CJP060-2020. </w:t>
            </w:r>
          </w:p>
        </w:tc>
      </w:tr>
      <w:tr w:rsidR="00356493" w:rsidRPr="00266BAD" w14:paraId="588EC7F6" w14:textId="77777777" w:rsidTr="00356493">
        <w:trPr>
          <w:trHeight w:val="1785"/>
        </w:trPr>
        <w:tc>
          <w:tcPr>
            <w:tcW w:w="1456" w:type="dxa"/>
            <w:shd w:val="clear" w:color="auto" w:fill="auto"/>
            <w:vAlign w:val="center"/>
            <w:hideMark/>
          </w:tcPr>
          <w:p w14:paraId="1AC7B27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089-2020</w:t>
            </w:r>
          </w:p>
        </w:tc>
        <w:tc>
          <w:tcPr>
            <w:tcW w:w="8175" w:type="dxa"/>
            <w:shd w:val="clear" w:color="auto" w:fill="auto"/>
            <w:hideMark/>
          </w:tcPr>
          <w:p w14:paraId="7A16D24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4619-2020 del Consejo Superior, remitiendo acuerdo de la sesión 36-2020, del 14 de abril del 2020, artículo IV, sobre las medidas en cuanto a la declaratoria de emergencia por motivo del Covid-19, en cuanto a la materia Penal Juvenil. Solo se le copia a la Comisión. </w:t>
            </w:r>
          </w:p>
        </w:tc>
      </w:tr>
      <w:tr w:rsidR="00356493" w:rsidRPr="00266BAD" w14:paraId="0A3A7795" w14:textId="77777777" w:rsidTr="00356493">
        <w:trPr>
          <w:trHeight w:val="1800"/>
        </w:trPr>
        <w:tc>
          <w:tcPr>
            <w:tcW w:w="1456" w:type="dxa"/>
            <w:shd w:val="clear" w:color="auto" w:fill="auto"/>
            <w:vAlign w:val="center"/>
            <w:hideMark/>
          </w:tcPr>
          <w:p w14:paraId="789A091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090-2020</w:t>
            </w:r>
          </w:p>
        </w:tc>
        <w:tc>
          <w:tcPr>
            <w:tcW w:w="8175" w:type="dxa"/>
            <w:shd w:val="clear" w:color="auto" w:fill="auto"/>
            <w:hideMark/>
          </w:tcPr>
          <w:p w14:paraId="485BF10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013-702-2020 de parte de la Comisión Enlace Corte-OIJ, coordinada por el magistrado Gerardo Rubén Alfaro, mediante el cual traslada al Comisión el oficio 284-DG-2020 de fecha 24 de marzo del 2020, al respecto de la realización de juicios con motivo de la declaratoria de emergencia Covid-19, y la peligrosidad y riesgo en Limón. </w:t>
            </w:r>
          </w:p>
        </w:tc>
      </w:tr>
      <w:tr w:rsidR="00356493" w:rsidRPr="00266BAD" w14:paraId="1DED97DF" w14:textId="77777777" w:rsidTr="00356493">
        <w:trPr>
          <w:trHeight w:val="1530"/>
        </w:trPr>
        <w:tc>
          <w:tcPr>
            <w:tcW w:w="1456" w:type="dxa"/>
            <w:shd w:val="clear" w:color="auto" w:fill="auto"/>
            <w:vAlign w:val="center"/>
            <w:hideMark/>
          </w:tcPr>
          <w:p w14:paraId="000A410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091-2020</w:t>
            </w:r>
          </w:p>
        </w:tc>
        <w:tc>
          <w:tcPr>
            <w:tcW w:w="8175" w:type="dxa"/>
            <w:shd w:val="clear" w:color="auto" w:fill="auto"/>
            <w:hideMark/>
          </w:tcPr>
          <w:p w14:paraId="246DA8B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4605-2020 del Consejo Superior, remitiendo acuerdo de sesión 41-2020 del 28 de abril del 2020, artículo XXXIX, mediante el cual se conoció lo relativo al informe 303-PLA-ES-2020, de la Dirección de Planificación relacionado con los principales resultados obtenidos del análisis de las personas detenidas a la orden de los Juzgados y Tribunales Penales del país al finalizar el 2018. Atendido por la Comisión mediante oficio CJP073-2020. </w:t>
            </w:r>
          </w:p>
        </w:tc>
      </w:tr>
      <w:tr w:rsidR="00356493" w:rsidRPr="00266BAD" w14:paraId="05CB3D92" w14:textId="77777777" w:rsidTr="00356493">
        <w:trPr>
          <w:trHeight w:val="1530"/>
        </w:trPr>
        <w:tc>
          <w:tcPr>
            <w:tcW w:w="1456" w:type="dxa"/>
            <w:shd w:val="clear" w:color="auto" w:fill="auto"/>
            <w:vAlign w:val="center"/>
            <w:hideMark/>
          </w:tcPr>
          <w:p w14:paraId="3EE81A0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092-2020</w:t>
            </w:r>
          </w:p>
        </w:tc>
        <w:tc>
          <w:tcPr>
            <w:tcW w:w="8175" w:type="dxa"/>
            <w:shd w:val="clear" w:color="auto" w:fill="auto"/>
            <w:hideMark/>
          </w:tcPr>
          <w:p w14:paraId="693A89F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4757-2020 de Corte Plena, mediante el cual comunico el acuerdo de sesión 27-2020 del 18 de mayo del 2020, artículo VII, mediante el cual conoció el protocolo para la realización de videoconferencias en procesos penales, remitido por la Comisión mediante oficio CJP103-2020. </w:t>
            </w:r>
          </w:p>
        </w:tc>
      </w:tr>
      <w:tr w:rsidR="00356493" w:rsidRPr="00266BAD" w14:paraId="02A92720" w14:textId="77777777" w:rsidTr="00356493">
        <w:trPr>
          <w:trHeight w:val="1530"/>
        </w:trPr>
        <w:tc>
          <w:tcPr>
            <w:tcW w:w="1456" w:type="dxa"/>
            <w:shd w:val="clear" w:color="auto" w:fill="auto"/>
            <w:vAlign w:val="center"/>
            <w:hideMark/>
          </w:tcPr>
          <w:p w14:paraId="6105BB0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093-2020</w:t>
            </w:r>
          </w:p>
        </w:tc>
        <w:tc>
          <w:tcPr>
            <w:tcW w:w="8175" w:type="dxa"/>
            <w:shd w:val="clear" w:color="auto" w:fill="auto"/>
            <w:hideMark/>
          </w:tcPr>
          <w:p w14:paraId="33E566E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4768-2020 de Corte Plena, mediante el cual comunico el acuerdo de sesión 22-2020, del 27 de abril del 2020, artículo XV, sobre la unificación de plazos para cambios de medida cautelar CJP219-2019. </w:t>
            </w:r>
          </w:p>
        </w:tc>
      </w:tr>
      <w:tr w:rsidR="00356493" w:rsidRPr="00266BAD" w14:paraId="6562CF4C" w14:textId="77777777" w:rsidTr="00356493">
        <w:trPr>
          <w:trHeight w:val="1530"/>
        </w:trPr>
        <w:tc>
          <w:tcPr>
            <w:tcW w:w="1456" w:type="dxa"/>
            <w:shd w:val="clear" w:color="auto" w:fill="auto"/>
            <w:vAlign w:val="center"/>
            <w:hideMark/>
          </w:tcPr>
          <w:p w14:paraId="2E4EB87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094-2020</w:t>
            </w:r>
          </w:p>
        </w:tc>
        <w:tc>
          <w:tcPr>
            <w:tcW w:w="8175" w:type="dxa"/>
            <w:shd w:val="clear" w:color="auto" w:fill="auto"/>
            <w:hideMark/>
          </w:tcPr>
          <w:p w14:paraId="1D08604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CACC-222-2020, de la Comisión de Acceso a la Justicia, mediante el cual nos remiten el acuerdo de la Subcomisión de Acceso a la Justicia de Pueblos Indígenas del 8 de mayo del 2020, en atención al oficio 825-DG-2019 del OIJ, sobre la administración de riesgos expuestos en la materia penal. </w:t>
            </w:r>
          </w:p>
        </w:tc>
      </w:tr>
      <w:tr w:rsidR="00356493" w:rsidRPr="00266BAD" w14:paraId="79FCE35C" w14:textId="77777777" w:rsidTr="00356493">
        <w:trPr>
          <w:trHeight w:val="1785"/>
        </w:trPr>
        <w:tc>
          <w:tcPr>
            <w:tcW w:w="1456" w:type="dxa"/>
            <w:shd w:val="clear" w:color="auto" w:fill="auto"/>
            <w:vAlign w:val="center"/>
            <w:hideMark/>
          </w:tcPr>
          <w:p w14:paraId="1AB77D5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095-2020</w:t>
            </w:r>
          </w:p>
        </w:tc>
        <w:tc>
          <w:tcPr>
            <w:tcW w:w="8175" w:type="dxa"/>
            <w:shd w:val="clear" w:color="auto" w:fill="auto"/>
            <w:hideMark/>
          </w:tcPr>
          <w:p w14:paraId="0C50273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4884-20 del Consejo Superior, remitiendo acuerdo de sesión 51-2020, del 21 de mayo del 2020, artículo LXVII; mediante el cual se conoció los oficios 138-CACMCJ-JEF-2020, 735-PLA-2020, 1787-DE-2020, sobre la situación de emergencia sanitaria provocada por el Covid-19. </w:t>
            </w:r>
          </w:p>
        </w:tc>
      </w:tr>
      <w:tr w:rsidR="00356493" w:rsidRPr="00266BAD" w14:paraId="15A27775" w14:textId="77777777" w:rsidTr="00356493">
        <w:trPr>
          <w:trHeight w:val="1530"/>
        </w:trPr>
        <w:tc>
          <w:tcPr>
            <w:tcW w:w="1456" w:type="dxa"/>
            <w:shd w:val="clear" w:color="auto" w:fill="auto"/>
            <w:vAlign w:val="center"/>
            <w:hideMark/>
          </w:tcPr>
          <w:p w14:paraId="75AB28B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096-2020</w:t>
            </w:r>
          </w:p>
        </w:tc>
        <w:tc>
          <w:tcPr>
            <w:tcW w:w="8175" w:type="dxa"/>
            <w:shd w:val="clear" w:color="auto" w:fill="auto"/>
            <w:hideMark/>
          </w:tcPr>
          <w:p w14:paraId="4246150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4865-2020 del Consejo Superior, mediante el cual nos comunican el acuerdo de sesión 43-2020 del 05 de mayo del 2020, artículo XIV, al respecto de las acciones para la continuidad de las audiencias penales por motivo del Covid-19. I</w:t>
            </w:r>
          </w:p>
        </w:tc>
      </w:tr>
      <w:tr w:rsidR="00356493" w:rsidRPr="00266BAD" w14:paraId="68FB3A2D" w14:textId="77777777" w:rsidTr="00356493">
        <w:trPr>
          <w:trHeight w:val="1020"/>
        </w:trPr>
        <w:tc>
          <w:tcPr>
            <w:tcW w:w="1456" w:type="dxa"/>
            <w:shd w:val="clear" w:color="auto" w:fill="auto"/>
            <w:vAlign w:val="center"/>
            <w:hideMark/>
          </w:tcPr>
          <w:p w14:paraId="14CD6DE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097-2020</w:t>
            </w:r>
          </w:p>
        </w:tc>
        <w:tc>
          <w:tcPr>
            <w:tcW w:w="8175" w:type="dxa"/>
            <w:shd w:val="clear" w:color="auto" w:fill="auto"/>
            <w:hideMark/>
          </w:tcPr>
          <w:p w14:paraId="27FE7C8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4945-2020 del Consejo Superior, mediante el cual nos comunican el acuerdo de sesión 48-2020 del 14 de mayo del 2020, artículo V, mediante el cual comunican el acuerdo de esperar la respuesta de la Comisión en la implementación de Teams en los Juzgados de Ejecución de la Pena. </w:t>
            </w:r>
          </w:p>
        </w:tc>
      </w:tr>
      <w:tr w:rsidR="00356493" w:rsidRPr="00266BAD" w14:paraId="6437CFB2" w14:textId="77777777" w:rsidTr="00356493">
        <w:trPr>
          <w:trHeight w:val="1530"/>
        </w:trPr>
        <w:tc>
          <w:tcPr>
            <w:tcW w:w="1456" w:type="dxa"/>
            <w:shd w:val="clear" w:color="auto" w:fill="auto"/>
            <w:vAlign w:val="center"/>
            <w:hideMark/>
          </w:tcPr>
          <w:p w14:paraId="08F3BDF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098-2020</w:t>
            </w:r>
          </w:p>
        </w:tc>
        <w:tc>
          <w:tcPr>
            <w:tcW w:w="8175" w:type="dxa"/>
            <w:shd w:val="clear" w:color="auto" w:fill="auto"/>
            <w:hideMark/>
          </w:tcPr>
          <w:p w14:paraId="09CBA2F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4900-2020 del Consejo Superior, mediante el cual nos remiten el acuerdo de sesión 43-2020 del 5 de mayo del 2020, artículo LVI, donde se atendió el oficio CJP080-2020 de los resultados obtenidos del análisis de las personas sentenciadas en los Tribunales Penales durante el 2018. </w:t>
            </w:r>
          </w:p>
        </w:tc>
      </w:tr>
      <w:tr w:rsidR="00356493" w:rsidRPr="00266BAD" w14:paraId="1E00C2BF" w14:textId="77777777" w:rsidTr="00356493">
        <w:trPr>
          <w:trHeight w:val="2100"/>
        </w:trPr>
        <w:tc>
          <w:tcPr>
            <w:tcW w:w="1456" w:type="dxa"/>
            <w:shd w:val="clear" w:color="auto" w:fill="auto"/>
            <w:vAlign w:val="center"/>
            <w:hideMark/>
          </w:tcPr>
          <w:p w14:paraId="4C27C41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099-2020</w:t>
            </w:r>
          </w:p>
        </w:tc>
        <w:tc>
          <w:tcPr>
            <w:tcW w:w="8175" w:type="dxa"/>
            <w:shd w:val="clear" w:color="auto" w:fill="auto"/>
            <w:hideMark/>
          </w:tcPr>
          <w:p w14:paraId="2C99A94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PJ-DGH-SGD-052-2020 de la Dirección de Gestión Humana, mediante el cual remite la propuesta de Circular, al respecto de la Ley 9635, donde solicita el visto bueno de la Comisión, en el tema de Gestión de Desempeño. </w:t>
            </w:r>
          </w:p>
        </w:tc>
      </w:tr>
      <w:tr w:rsidR="00356493" w:rsidRPr="00266BAD" w14:paraId="415E473D" w14:textId="77777777" w:rsidTr="00356493">
        <w:trPr>
          <w:trHeight w:val="1530"/>
        </w:trPr>
        <w:tc>
          <w:tcPr>
            <w:tcW w:w="1456" w:type="dxa"/>
            <w:shd w:val="clear" w:color="auto" w:fill="auto"/>
            <w:vAlign w:val="center"/>
            <w:hideMark/>
          </w:tcPr>
          <w:p w14:paraId="1E3BCFB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100-2020</w:t>
            </w:r>
          </w:p>
        </w:tc>
        <w:tc>
          <w:tcPr>
            <w:tcW w:w="8175" w:type="dxa"/>
            <w:shd w:val="clear" w:color="auto" w:fill="auto"/>
            <w:hideMark/>
          </w:tcPr>
          <w:p w14:paraId="779C470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4960-2020 del Consejo Superior, comunicando acuerdo de sesión 43-2020 del 5 de mayo del 2020, artículo XXXVII, sobre el oficio CJP079-2020.</w:t>
            </w:r>
          </w:p>
        </w:tc>
      </w:tr>
      <w:tr w:rsidR="00356493" w:rsidRPr="00266BAD" w14:paraId="4DD541F0" w14:textId="77777777" w:rsidTr="00356493">
        <w:trPr>
          <w:trHeight w:val="1530"/>
        </w:trPr>
        <w:tc>
          <w:tcPr>
            <w:tcW w:w="1456" w:type="dxa"/>
            <w:shd w:val="clear" w:color="auto" w:fill="auto"/>
            <w:vAlign w:val="center"/>
            <w:hideMark/>
          </w:tcPr>
          <w:p w14:paraId="58DFCBB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101-2020</w:t>
            </w:r>
          </w:p>
        </w:tc>
        <w:tc>
          <w:tcPr>
            <w:tcW w:w="8175" w:type="dxa"/>
            <w:shd w:val="clear" w:color="auto" w:fill="auto"/>
            <w:hideMark/>
          </w:tcPr>
          <w:p w14:paraId="1C96520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señora María Jiménez Soto, de fecha 28 de mayo del 2020, mediante el cual solicita a la comisión el procedimiento a seguir por la judicatura al generarse una actualización o reafirmación de la citada documentación (estudio operativo de la Auditoría al Juzgado Penal del de San José.) en momento de realizar la orden de captura por el OIJ. </w:t>
            </w:r>
          </w:p>
        </w:tc>
      </w:tr>
      <w:tr w:rsidR="00356493" w:rsidRPr="00266BAD" w14:paraId="488672A3" w14:textId="77777777" w:rsidTr="00356493">
        <w:trPr>
          <w:trHeight w:val="1530"/>
        </w:trPr>
        <w:tc>
          <w:tcPr>
            <w:tcW w:w="1456" w:type="dxa"/>
            <w:shd w:val="clear" w:color="auto" w:fill="auto"/>
            <w:vAlign w:val="center"/>
            <w:hideMark/>
          </w:tcPr>
          <w:p w14:paraId="094F6FE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102-2020</w:t>
            </w:r>
          </w:p>
        </w:tc>
        <w:tc>
          <w:tcPr>
            <w:tcW w:w="8175" w:type="dxa"/>
            <w:shd w:val="clear" w:color="auto" w:fill="auto"/>
            <w:hideMark/>
          </w:tcPr>
          <w:p w14:paraId="4784B0F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5088-2020 del Consejo Superior, mediante el cual nos remiten el acuerdo de sesión 52-2020 del 26 de mayo del 2020, artículo LIX, sobre el oficio 36-mag.2 SCP-2020, sobre principales acciones de seguimiento por el Covid-19. </w:t>
            </w:r>
          </w:p>
        </w:tc>
      </w:tr>
      <w:tr w:rsidR="00356493" w:rsidRPr="00266BAD" w14:paraId="72707E25" w14:textId="77777777" w:rsidTr="00356493">
        <w:trPr>
          <w:trHeight w:val="1530"/>
        </w:trPr>
        <w:tc>
          <w:tcPr>
            <w:tcW w:w="1456" w:type="dxa"/>
            <w:shd w:val="clear" w:color="auto" w:fill="auto"/>
            <w:vAlign w:val="center"/>
            <w:hideMark/>
          </w:tcPr>
          <w:p w14:paraId="68E8AEC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103-2020</w:t>
            </w:r>
          </w:p>
        </w:tc>
        <w:tc>
          <w:tcPr>
            <w:tcW w:w="8175" w:type="dxa"/>
            <w:shd w:val="clear" w:color="auto" w:fill="auto"/>
            <w:hideMark/>
          </w:tcPr>
          <w:p w14:paraId="4186FBA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5091-2020 de Corte Plena, comunicando acuerdo de sesión 25-2020 del 11 de mayo del 2020, artículo VI, sobre el tema de conocimiento de la realización de videoconferencias en materia penal y el criterio rendido por la Comisión CJP103-2020. </w:t>
            </w:r>
          </w:p>
        </w:tc>
      </w:tr>
      <w:tr w:rsidR="00356493" w:rsidRPr="00266BAD" w14:paraId="485C0F83" w14:textId="77777777" w:rsidTr="00356493">
        <w:trPr>
          <w:trHeight w:val="1914"/>
        </w:trPr>
        <w:tc>
          <w:tcPr>
            <w:tcW w:w="1456" w:type="dxa"/>
            <w:shd w:val="clear" w:color="auto" w:fill="auto"/>
            <w:vAlign w:val="center"/>
            <w:hideMark/>
          </w:tcPr>
          <w:p w14:paraId="60A43AC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104-2020</w:t>
            </w:r>
          </w:p>
        </w:tc>
        <w:tc>
          <w:tcPr>
            <w:tcW w:w="8175" w:type="dxa"/>
            <w:shd w:val="clear" w:color="auto" w:fill="auto"/>
            <w:hideMark/>
          </w:tcPr>
          <w:p w14:paraId="1770403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señora Cinthia Sáenz Valerio, de fecha 1 de junio del 2020, mediante el cual solicita a la comisión una solución integral al respecto de procesos contravencionales señalados y próximos a prescribir. </w:t>
            </w:r>
          </w:p>
        </w:tc>
      </w:tr>
      <w:tr w:rsidR="00356493" w:rsidRPr="00266BAD" w14:paraId="3002AF09" w14:textId="77777777" w:rsidTr="00356493">
        <w:trPr>
          <w:trHeight w:val="1530"/>
        </w:trPr>
        <w:tc>
          <w:tcPr>
            <w:tcW w:w="1456" w:type="dxa"/>
            <w:shd w:val="clear" w:color="auto" w:fill="auto"/>
            <w:vAlign w:val="center"/>
            <w:hideMark/>
          </w:tcPr>
          <w:p w14:paraId="0ECC01C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105-2020</w:t>
            </w:r>
          </w:p>
        </w:tc>
        <w:tc>
          <w:tcPr>
            <w:tcW w:w="8175" w:type="dxa"/>
            <w:shd w:val="clear" w:color="auto" w:fill="auto"/>
            <w:hideMark/>
          </w:tcPr>
          <w:p w14:paraId="436C624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059-S-2020 de SITRAJUD, mediante el cual consultan a la Comisión al respecto del acuerdo de Consejo Superior N° 109-19 del 17 de diciembre del 2019, artículo XXVIII, sobre el pronunciamiento de la Comisión sobre ese tema. </w:t>
            </w:r>
          </w:p>
        </w:tc>
      </w:tr>
      <w:tr w:rsidR="00356493" w:rsidRPr="00266BAD" w14:paraId="4713E6C7" w14:textId="77777777" w:rsidTr="00356493">
        <w:trPr>
          <w:trHeight w:val="1530"/>
        </w:trPr>
        <w:tc>
          <w:tcPr>
            <w:tcW w:w="1456" w:type="dxa"/>
            <w:shd w:val="clear" w:color="auto" w:fill="auto"/>
            <w:vAlign w:val="center"/>
            <w:hideMark/>
          </w:tcPr>
          <w:p w14:paraId="7201A80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106-2020</w:t>
            </w:r>
          </w:p>
        </w:tc>
        <w:tc>
          <w:tcPr>
            <w:tcW w:w="8175" w:type="dxa"/>
            <w:shd w:val="clear" w:color="auto" w:fill="auto"/>
            <w:hideMark/>
          </w:tcPr>
          <w:p w14:paraId="449945B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996-DTI-2020 de la Dirección de Tecnología de la Información al respecto del acuerdo de sesión 27-2020 de Corte Plena, artículo VII, sobre el protocolo para la realización de videoconferencias en procesos penales. </w:t>
            </w:r>
          </w:p>
        </w:tc>
      </w:tr>
      <w:tr w:rsidR="00356493" w:rsidRPr="00266BAD" w14:paraId="14A26FA6" w14:textId="77777777" w:rsidTr="00356493">
        <w:trPr>
          <w:trHeight w:val="1275"/>
        </w:trPr>
        <w:tc>
          <w:tcPr>
            <w:tcW w:w="1456" w:type="dxa"/>
            <w:shd w:val="clear" w:color="auto" w:fill="auto"/>
            <w:vAlign w:val="center"/>
            <w:hideMark/>
          </w:tcPr>
          <w:p w14:paraId="618938B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107-2020</w:t>
            </w:r>
          </w:p>
        </w:tc>
        <w:tc>
          <w:tcPr>
            <w:tcW w:w="8175" w:type="dxa"/>
            <w:shd w:val="clear" w:color="auto" w:fill="auto"/>
            <w:hideMark/>
          </w:tcPr>
          <w:p w14:paraId="68515E7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señora Nuria Villalobos Solano, de fecha 08 de junio del 2020, mediante el cual presente la consulta a la Comisión, sobre pronunciamiento en cuanto al archivo judicial proceda a recibir el remesado de cientos de expedientes archivados en el Tribunal Penal del Primer Circuito Judicial de San José. </w:t>
            </w:r>
          </w:p>
        </w:tc>
      </w:tr>
      <w:tr w:rsidR="00356493" w:rsidRPr="00266BAD" w14:paraId="359CC743" w14:textId="77777777" w:rsidTr="00356493">
        <w:trPr>
          <w:trHeight w:val="1530"/>
        </w:trPr>
        <w:tc>
          <w:tcPr>
            <w:tcW w:w="1456" w:type="dxa"/>
            <w:shd w:val="clear" w:color="auto" w:fill="auto"/>
            <w:vAlign w:val="center"/>
            <w:hideMark/>
          </w:tcPr>
          <w:p w14:paraId="36A1FA6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108-2020</w:t>
            </w:r>
          </w:p>
        </w:tc>
        <w:tc>
          <w:tcPr>
            <w:tcW w:w="8175" w:type="dxa"/>
            <w:shd w:val="clear" w:color="auto" w:fill="auto"/>
            <w:hideMark/>
          </w:tcPr>
          <w:p w14:paraId="7F10767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licenciada Jeannette Mena Rodríguez, de fecha 08-06-2020, mediante el cual traslada solicitud de criterio de la Comisión, sobre dejar sin efecto juicios por aumentos de Covid-19. </w:t>
            </w:r>
          </w:p>
        </w:tc>
      </w:tr>
      <w:tr w:rsidR="00356493" w:rsidRPr="00266BAD" w14:paraId="01985F8B" w14:textId="77777777" w:rsidTr="00356493">
        <w:trPr>
          <w:trHeight w:val="2295"/>
        </w:trPr>
        <w:tc>
          <w:tcPr>
            <w:tcW w:w="1456" w:type="dxa"/>
            <w:shd w:val="clear" w:color="auto" w:fill="auto"/>
            <w:vAlign w:val="center"/>
            <w:hideMark/>
          </w:tcPr>
          <w:p w14:paraId="5A9512B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109-2020</w:t>
            </w:r>
          </w:p>
        </w:tc>
        <w:tc>
          <w:tcPr>
            <w:tcW w:w="8175" w:type="dxa"/>
            <w:shd w:val="clear" w:color="auto" w:fill="auto"/>
            <w:hideMark/>
          </w:tcPr>
          <w:p w14:paraId="23FB7A8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señora Ivette Carranza, de fecha 10 de junio del año en curso, mediante el cual consulta la posibilidad de que los jueces al momento del juicio se encuentran enlazados virtualmente en diferentes lugares</w:t>
            </w:r>
            <w:r>
              <w:rPr>
                <w:rFonts w:ascii="Cambria" w:eastAsia="Times New Roman" w:hAnsi="Cambria" w:cs="Calibri"/>
                <w:sz w:val="20"/>
                <w:szCs w:val="20"/>
                <w:lang w:eastAsia="es-CR"/>
              </w:rPr>
              <w:t>.</w:t>
            </w:r>
          </w:p>
        </w:tc>
      </w:tr>
      <w:tr w:rsidR="00356493" w:rsidRPr="00266BAD" w14:paraId="0F97259C" w14:textId="77777777" w:rsidTr="00356493">
        <w:trPr>
          <w:trHeight w:val="1785"/>
        </w:trPr>
        <w:tc>
          <w:tcPr>
            <w:tcW w:w="1456" w:type="dxa"/>
            <w:shd w:val="clear" w:color="auto" w:fill="auto"/>
            <w:vAlign w:val="center"/>
            <w:hideMark/>
          </w:tcPr>
          <w:p w14:paraId="4D960A7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110-2020</w:t>
            </w:r>
          </w:p>
        </w:tc>
        <w:tc>
          <w:tcPr>
            <w:tcW w:w="8175" w:type="dxa"/>
            <w:shd w:val="clear" w:color="auto" w:fill="auto"/>
            <w:hideMark/>
          </w:tcPr>
          <w:p w14:paraId="101BA50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5417-20 del consejo Superior, remitiendo acuerdo de sesión 56-2020 del 09 de junio del 2020, artículo LXXXI, donde se conoció el oficio 041-Mag2.SCP-2020, sobre la atención de la alerta naranja por Covid-19</w:t>
            </w:r>
            <w:r>
              <w:rPr>
                <w:rFonts w:ascii="Cambria" w:eastAsia="Times New Roman" w:hAnsi="Cambria" w:cs="Calibri"/>
                <w:sz w:val="20"/>
                <w:szCs w:val="20"/>
                <w:lang w:eastAsia="es-CR"/>
              </w:rPr>
              <w:t>.</w:t>
            </w:r>
          </w:p>
        </w:tc>
      </w:tr>
      <w:tr w:rsidR="00356493" w:rsidRPr="00266BAD" w14:paraId="0D611435" w14:textId="77777777" w:rsidTr="00356493">
        <w:trPr>
          <w:trHeight w:val="1530"/>
        </w:trPr>
        <w:tc>
          <w:tcPr>
            <w:tcW w:w="1456" w:type="dxa"/>
            <w:shd w:val="clear" w:color="auto" w:fill="auto"/>
            <w:vAlign w:val="center"/>
            <w:hideMark/>
          </w:tcPr>
          <w:p w14:paraId="348A954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112-2020</w:t>
            </w:r>
          </w:p>
        </w:tc>
        <w:tc>
          <w:tcPr>
            <w:tcW w:w="8175" w:type="dxa"/>
            <w:shd w:val="clear" w:color="auto" w:fill="auto"/>
            <w:hideMark/>
          </w:tcPr>
          <w:p w14:paraId="438CD8A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473-DG-2020/ </w:t>
            </w:r>
            <w:proofErr w:type="spellStart"/>
            <w:r w:rsidRPr="00266BAD">
              <w:rPr>
                <w:rFonts w:ascii="Cambria" w:eastAsia="Times New Roman" w:hAnsi="Cambria" w:cs="Calibri"/>
                <w:sz w:val="20"/>
                <w:szCs w:val="20"/>
                <w:lang w:eastAsia="es-CR"/>
              </w:rPr>
              <w:t>Ref</w:t>
            </w:r>
            <w:proofErr w:type="spellEnd"/>
            <w:r w:rsidRPr="00266BAD">
              <w:rPr>
                <w:rFonts w:ascii="Cambria" w:eastAsia="Times New Roman" w:hAnsi="Cambria" w:cs="Calibri"/>
                <w:sz w:val="20"/>
                <w:szCs w:val="20"/>
                <w:lang w:eastAsia="es-CR"/>
              </w:rPr>
              <w:t xml:space="preserve"> 600-2020 de la Dirección General del Organismo de Investigación Judicial, consultando a la Comisión voto 2020-10147 de la Sala Constitucional, sobre el riesgo de contagio por enfermedad de Covid-19, por el traslado de las personas de libertado. </w:t>
            </w:r>
          </w:p>
        </w:tc>
      </w:tr>
      <w:tr w:rsidR="00356493" w:rsidRPr="00266BAD" w14:paraId="2F175212" w14:textId="77777777" w:rsidTr="00356493">
        <w:trPr>
          <w:trHeight w:val="1785"/>
        </w:trPr>
        <w:tc>
          <w:tcPr>
            <w:tcW w:w="1456" w:type="dxa"/>
            <w:shd w:val="clear" w:color="auto" w:fill="auto"/>
            <w:vAlign w:val="center"/>
            <w:hideMark/>
          </w:tcPr>
          <w:p w14:paraId="6050E0E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113-2020</w:t>
            </w:r>
          </w:p>
        </w:tc>
        <w:tc>
          <w:tcPr>
            <w:tcW w:w="8175" w:type="dxa"/>
            <w:shd w:val="clear" w:color="auto" w:fill="auto"/>
            <w:hideMark/>
          </w:tcPr>
          <w:p w14:paraId="19D22D0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5692-2020 del Consejo Superior, comunicando acuerdo de sesión 52-2020 del 26 de mayo del 2020, artículo XXX, sobre el oficio 006-SPJ-2020 de la Sub Comisión Penal Juvenil, sobre el plan de abordaje respectivo en razón del Covid-19, en la materia Penal Juvenil. </w:t>
            </w:r>
          </w:p>
        </w:tc>
      </w:tr>
      <w:tr w:rsidR="00356493" w:rsidRPr="00266BAD" w14:paraId="33BB8FDB" w14:textId="77777777" w:rsidTr="00356493">
        <w:trPr>
          <w:trHeight w:val="1530"/>
        </w:trPr>
        <w:tc>
          <w:tcPr>
            <w:tcW w:w="1456" w:type="dxa"/>
            <w:shd w:val="clear" w:color="auto" w:fill="auto"/>
            <w:vAlign w:val="center"/>
            <w:hideMark/>
          </w:tcPr>
          <w:p w14:paraId="2CB44A2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114-2020</w:t>
            </w:r>
          </w:p>
        </w:tc>
        <w:tc>
          <w:tcPr>
            <w:tcW w:w="8175" w:type="dxa"/>
            <w:shd w:val="clear" w:color="auto" w:fill="auto"/>
            <w:hideMark/>
          </w:tcPr>
          <w:p w14:paraId="1B8E0DF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5839-2020 del Consejo Superior, comunicando el acuerdo de sesión 52-2020 del 26 de mayo del 2020, artículo XLI, sobre el oficio 946-PLA-2018 y 558-PLA-ES-2020, sobre los movimientos de trabajo ocurridos en el Programa de Justicia Restaurativa del Poder Judicial, durante el 2017. </w:t>
            </w:r>
          </w:p>
        </w:tc>
      </w:tr>
      <w:tr w:rsidR="00356493" w:rsidRPr="00266BAD" w14:paraId="6D908F0E" w14:textId="77777777" w:rsidTr="00356493">
        <w:trPr>
          <w:trHeight w:val="1530"/>
        </w:trPr>
        <w:tc>
          <w:tcPr>
            <w:tcW w:w="1456" w:type="dxa"/>
            <w:shd w:val="clear" w:color="auto" w:fill="auto"/>
            <w:vAlign w:val="center"/>
            <w:hideMark/>
          </w:tcPr>
          <w:p w14:paraId="3D8AA27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115-2020</w:t>
            </w:r>
          </w:p>
        </w:tc>
        <w:tc>
          <w:tcPr>
            <w:tcW w:w="8175" w:type="dxa"/>
            <w:shd w:val="clear" w:color="auto" w:fill="auto"/>
            <w:hideMark/>
          </w:tcPr>
          <w:p w14:paraId="0A86B9B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Marco Vinicio Lizano Oviedo, de fecha 24 de junio del 2020, mediante el cual traslada inquietud de los jueces, al respecto de la circular 119-2020, sobre la "Responsabilidad de la Jueza o el Juez Coordinador del despacho, de dejar constancia al momento de realizar el remesado, de que no existen bienes decomisados o evidencias ligadas a los expedientes ni documentos de interés para las partes" </w:t>
            </w:r>
            <w:r>
              <w:rPr>
                <w:rFonts w:ascii="Cambria" w:eastAsia="Times New Roman" w:hAnsi="Cambria" w:cs="Calibri"/>
                <w:sz w:val="20"/>
                <w:szCs w:val="20"/>
                <w:lang w:eastAsia="es-CR"/>
              </w:rPr>
              <w:t>.</w:t>
            </w:r>
          </w:p>
        </w:tc>
      </w:tr>
      <w:tr w:rsidR="00356493" w:rsidRPr="00266BAD" w14:paraId="77EF5E1F" w14:textId="77777777" w:rsidTr="00356493">
        <w:trPr>
          <w:trHeight w:val="1545"/>
        </w:trPr>
        <w:tc>
          <w:tcPr>
            <w:tcW w:w="1456" w:type="dxa"/>
            <w:shd w:val="clear" w:color="auto" w:fill="auto"/>
            <w:vAlign w:val="center"/>
            <w:hideMark/>
          </w:tcPr>
          <w:p w14:paraId="5DCCEE8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116-2020</w:t>
            </w:r>
          </w:p>
        </w:tc>
        <w:tc>
          <w:tcPr>
            <w:tcW w:w="8175" w:type="dxa"/>
            <w:shd w:val="clear" w:color="auto" w:fill="auto"/>
            <w:hideMark/>
          </w:tcPr>
          <w:p w14:paraId="19E8180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5938-2020 del Consejo Superior, comunicando acuerdo de la sesión 59-2020 del 16 de junio del 2020, artículo XXIX, sobre la declaratoria de emergencia por Covid-19 en el sector de Cobano. </w:t>
            </w:r>
          </w:p>
        </w:tc>
      </w:tr>
      <w:tr w:rsidR="00356493" w:rsidRPr="00266BAD" w14:paraId="34317A44" w14:textId="77777777" w:rsidTr="00356493">
        <w:trPr>
          <w:trHeight w:val="1800"/>
        </w:trPr>
        <w:tc>
          <w:tcPr>
            <w:tcW w:w="1456" w:type="dxa"/>
            <w:shd w:val="clear" w:color="auto" w:fill="auto"/>
            <w:vAlign w:val="center"/>
            <w:hideMark/>
          </w:tcPr>
          <w:p w14:paraId="34FABC5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117-2020</w:t>
            </w:r>
          </w:p>
        </w:tc>
        <w:tc>
          <w:tcPr>
            <w:tcW w:w="8175" w:type="dxa"/>
            <w:shd w:val="clear" w:color="auto" w:fill="auto"/>
            <w:hideMark/>
          </w:tcPr>
          <w:p w14:paraId="1217C01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923-PLA-ES-2020, de la Dirección de Planificación, mediante el cual remite el informe sobre el análisis del movimiento de trabajo en los Juzgados Penales durante el 2019. </w:t>
            </w:r>
          </w:p>
        </w:tc>
      </w:tr>
      <w:tr w:rsidR="00356493" w:rsidRPr="00266BAD" w14:paraId="7EC7C270" w14:textId="77777777" w:rsidTr="00356493">
        <w:trPr>
          <w:trHeight w:val="1020"/>
        </w:trPr>
        <w:tc>
          <w:tcPr>
            <w:tcW w:w="1456" w:type="dxa"/>
            <w:shd w:val="clear" w:color="auto" w:fill="auto"/>
            <w:vAlign w:val="center"/>
            <w:hideMark/>
          </w:tcPr>
          <w:p w14:paraId="692C4DD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118-2020</w:t>
            </w:r>
          </w:p>
        </w:tc>
        <w:tc>
          <w:tcPr>
            <w:tcW w:w="8175" w:type="dxa"/>
            <w:shd w:val="clear" w:color="auto" w:fill="auto"/>
            <w:hideMark/>
          </w:tcPr>
          <w:p w14:paraId="63B3AB8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950-PLA-2020, de la Dirección de Planificación, sobre el informe de seguimiento del oficio 493-PLA-2020, sobre la prórroga de licencias con goce de salario y sustitución en los Tribunales de Juicio que disponen de estructura mínima, ante la situación del Covid-19</w:t>
            </w:r>
            <w:r>
              <w:rPr>
                <w:rFonts w:ascii="Cambria" w:eastAsia="Times New Roman" w:hAnsi="Cambria" w:cs="Calibri"/>
                <w:sz w:val="20"/>
                <w:szCs w:val="20"/>
                <w:lang w:eastAsia="es-CR"/>
              </w:rPr>
              <w:t>.</w:t>
            </w:r>
          </w:p>
        </w:tc>
      </w:tr>
      <w:tr w:rsidR="00356493" w:rsidRPr="00266BAD" w14:paraId="12927C07" w14:textId="77777777" w:rsidTr="00356493">
        <w:trPr>
          <w:trHeight w:val="765"/>
        </w:trPr>
        <w:tc>
          <w:tcPr>
            <w:tcW w:w="1456" w:type="dxa"/>
            <w:shd w:val="clear" w:color="auto" w:fill="auto"/>
            <w:vAlign w:val="center"/>
            <w:hideMark/>
          </w:tcPr>
          <w:p w14:paraId="507B3A9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119-2020</w:t>
            </w:r>
          </w:p>
        </w:tc>
        <w:tc>
          <w:tcPr>
            <w:tcW w:w="8175" w:type="dxa"/>
            <w:shd w:val="clear" w:color="auto" w:fill="auto"/>
            <w:hideMark/>
          </w:tcPr>
          <w:p w14:paraId="2282E4D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5967-2020 del Consejo Superior, remitiendo acuerdo de sesión 54-2020, del 02 de junio del 2020, artículo XLVII, sobre el rediseño del proceso del Tribunal Penal de Liberia</w:t>
            </w:r>
            <w:r>
              <w:rPr>
                <w:rFonts w:ascii="Cambria" w:eastAsia="Times New Roman" w:hAnsi="Cambria" w:cs="Calibri"/>
                <w:sz w:val="20"/>
                <w:szCs w:val="20"/>
                <w:lang w:eastAsia="es-CR"/>
              </w:rPr>
              <w:t>.</w:t>
            </w:r>
          </w:p>
        </w:tc>
      </w:tr>
      <w:tr w:rsidR="00356493" w:rsidRPr="00266BAD" w14:paraId="5B394F77" w14:textId="77777777" w:rsidTr="00356493">
        <w:trPr>
          <w:trHeight w:val="765"/>
        </w:trPr>
        <w:tc>
          <w:tcPr>
            <w:tcW w:w="1456" w:type="dxa"/>
            <w:shd w:val="clear" w:color="auto" w:fill="auto"/>
            <w:vAlign w:val="center"/>
            <w:hideMark/>
          </w:tcPr>
          <w:p w14:paraId="18ACE38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120-2020</w:t>
            </w:r>
          </w:p>
        </w:tc>
        <w:tc>
          <w:tcPr>
            <w:tcW w:w="8175" w:type="dxa"/>
            <w:shd w:val="clear" w:color="auto" w:fill="auto"/>
            <w:hideMark/>
          </w:tcPr>
          <w:p w14:paraId="3BA244E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5966-2020 del Consejo Superior, de sesión 54-2020 del 02 de junio del 2020, artículo XLVI, sobre el protocolo para las audiencias virtuales comunicada mediante oficio CJP108-2020. </w:t>
            </w:r>
          </w:p>
        </w:tc>
      </w:tr>
      <w:tr w:rsidR="00356493" w:rsidRPr="00266BAD" w14:paraId="58FC9241" w14:textId="77777777" w:rsidTr="00356493">
        <w:trPr>
          <w:trHeight w:val="765"/>
        </w:trPr>
        <w:tc>
          <w:tcPr>
            <w:tcW w:w="1456" w:type="dxa"/>
            <w:shd w:val="clear" w:color="auto" w:fill="auto"/>
            <w:vAlign w:val="center"/>
            <w:hideMark/>
          </w:tcPr>
          <w:p w14:paraId="40AA7F5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121-2020</w:t>
            </w:r>
          </w:p>
        </w:tc>
        <w:tc>
          <w:tcPr>
            <w:tcW w:w="8175" w:type="dxa"/>
            <w:shd w:val="clear" w:color="auto" w:fill="auto"/>
            <w:hideMark/>
          </w:tcPr>
          <w:p w14:paraId="67E50BA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5965-2020 del Consejo Superior, de sesión 54-2020, del 02 de junio del 2020, artículo XLV, sobre la situación relacionada con el Depósito de Objetos Decomisados por Juzgados Contravencionales</w:t>
            </w:r>
            <w:r>
              <w:rPr>
                <w:rFonts w:ascii="Cambria" w:eastAsia="Times New Roman" w:hAnsi="Cambria" w:cs="Calibri"/>
                <w:sz w:val="20"/>
                <w:szCs w:val="20"/>
                <w:lang w:eastAsia="es-CR"/>
              </w:rPr>
              <w:t>.</w:t>
            </w:r>
          </w:p>
        </w:tc>
      </w:tr>
      <w:tr w:rsidR="00356493" w:rsidRPr="00266BAD" w14:paraId="298A283D" w14:textId="77777777" w:rsidTr="00356493">
        <w:trPr>
          <w:trHeight w:val="1530"/>
        </w:trPr>
        <w:tc>
          <w:tcPr>
            <w:tcW w:w="1456" w:type="dxa"/>
            <w:shd w:val="clear" w:color="auto" w:fill="auto"/>
            <w:vAlign w:val="center"/>
            <w:hideMark/>
          </w:tcPr>
          <w:p w14:paraId="6C83B53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122-2020</w:t>
            </w:r>
          </w:p>
        </w:tc>
        <w:tc>
          <w:tcPr>
            <w:tcW w:w="8175" w:type="dxa"/>
            <w:shd w:val="clear" w:color="auto" w:fill="auto"/>
            <w:hideMark/>
          </w:tcPr>
          <w:p w14:paraId="13CC8EA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955-PLA-PE-2020 de la Dirección de Planificación, mediante el cual nos remite el enlace para el documento relacionado con el segundo informe de seguimiento del 2020 de los proyectos incorporados al Portafolio de Proyectos Estratégicos. Adicionalmente para el caso de los proyectos en los cuales se concedieron licencias de permiso con goce de salario, según lo estipulado en el artículo 44 de la Ley Orgánica del Poder Judicial</w:t>
            </w:r>
            <w:r>
              <w:rPr>
                <w:rFonts w:ascii="Cambria" w:eastAsia="Times New Roman" w:hAnsi="Cambria" w:cs="Calibri"/>
                <w:sz w:val="20"/>
                <w:szCs w:val="20"/>
                <w:lang w:eastAsia="es-CR"/>
              </w:rPr>
              <w:t>.</w:t>
            </w:r>
          </w:p>
        </w:tc>
      </w:tr>
      <w:tr w:rsidR="00356493" w:rsidRPr="00266BAD" w14:paraId="5EAF3D19" w14:textId="77777777" w:rsidTr="00356493">
        <w:trPr>
          <w:trHeight w:val="1020"/>
        </w:trPr>
        <w:tc>
          <w:tcPr>
            <w:tcW w:w="1456" w:type="dxa"/>
            <w:shd w:val="clear" w:color="auto" w:fill="auto"/>
            <w:vAlign w:val="center"/>
            <w:hideMark/>
          </w:tcPr>
          <w:p w14:paraId="3436782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123-2020</w:t>
            </w:r>
          </w:p>
        </w:tc>
        <w:tc>
          <w:tcPr>
            <w:tcW w:w="8175" w:type="dxa"/>
            <w:shd w:val="clear" w:color="auto" w:fill="auto"/>
            <w:hideMark/>
          </w:tcPr>
          <w:p w14:paraId="28ABB79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5991-20 del Consejo Superior, remitiendo acuerdo de sesión 55-2020, del 4 de junio del 2020, artículo LII, sobre oficio 521-PLA-PE-2020 sobre el informe relacionado con los resultados de la encuesta de opinión sobre el acceso a la justicia que tiene la población penal juvenil en Upala. </w:t>
            </w:r>
          </w:p>
        </w:tc>
      </w:tr>
      <w:tr w:rsidR="00356493" w:rsidRPr="00266BAD" w14:paraId="0057A951" w14:textId="77777777" w:rsidTr="00356493">
        <w:trPr>
          <w:trHeight w:val="1800"/>
        </w:trPr>
        <w:tc>
          <w:tcPr>
            <w:tcW w:w="1456" w:type="dxa"/>
            <w:shd w:val="clear" w:color="auto" w:fill="auto"/>
            <w:vAlign w:val="center"/>
            <w:hideMark/>
          </w:tcPr>
          <w:p w14:paraId="03C7E41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124-2020</w:t>
            </w:r>
          </w:p>
        </w:tc>
        <w:tc>
          <w:tcPr>
            <w:tcW w:w="8175" w:type="dxa"/>
            <w:shd w:val="clear" w:color="auto" w:fill="auto"/>
            <w:hideMark/>
          </w:tcPr>
          <w:p w14:paraId="2686116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961-PLA-OI-2020 de la Dirección de Planificación, sobre el informe relacionado con el funcionamiento del Sistema de justicia Penal durante la atención de la emergencia nacional</w:t>
            </w:r>
            <w:r>
              <w:rPr>
                <w:rFonts w:ascii="Cambria" w:eastAsia="Times New Roman" w:hAnsi="Cambria" w:cs="Calibri"/>
                <w:sz w:val="20"/>
                <w:szCs w:val="20"/>
                <w:lang w:eastAsia="es-CR"/>
              </w:rPr>
              <w:t>.</w:t>
            </w:r>
          </w:p>
        </w:tc>
      </w:tr>
      <w:tr w:rsidR="00356493" w:rsidRPr="00266BAD" w14:paraId="40430836" w14:textId="77777777" w:rsidTr="00356493">
        <w:trPr>
          <w:trHeight w:val="1020"/>
        </w:trPr>
        <w:tc>
          <w:tcPr>
            <w:tcW w:w="1456" w:type="dxa"/>
            <w:shd w:val="clear" w:color="auto" w:fill="auto"/>
            <w:vAlign w:val="center"/>
            <w:hideMark/>
          </w:tcPr>
          <w:p w14:paraId="3E0741A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125-2020</w:t>
            </w:r>
          </w:p>
        </w:tc>
        <w:tc>
          <w:tcPr>
            <w:tcW w:w="8175" w:type="dxa"/>
            <w:shd w:val="clear" w:color="auto" w:fill="auto"/>
            <w:hideMark/>
          </w:tcPr>
          <w:p w14:paraId="376F34A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6057-2020 del Consejo Superior, mediante el cual comunica el acuerdo de sesión 55-2020 del 4 de junio del 2020, artículo LV, sobre el oficio CJP122-2020 del informe 610-PLA-2020, referente diligencias programadas con personas privadas de libertad a partir del 1 de abril y hasta el 30 de junio de 2020. </w:t>
            </w:r>
          </w:p>
        </w:tc>
      </w:tr>
      <w:tr w:rsidR="00356493" w:rsidRPr="00266BAD" w14:paraId="380C5497" w14:textId="77777777" w:rsidTr="00356493">
        <w:trPr>
          <w:trHeight w:val="1020"/>
        </w:trPr>
        <w:tc>
          <w:tcPr>
            <w:tcW w:w="1456" w:type="dxa"/>
            <w:shd w:val="clear" w:color="auto" w:fill="auto"/>
            <w:vAlign w:val="center"/>
            <w:hideMark/>
          </w:tcPr>
          <w:p w14:paraId="669EE5E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126-2020</w:t>
            </w:r>
          </w:p>
        </w:tc>
        <w:tc>
          <w:tcPr>
            <w:tcW w:w="8175" w:type="dxa"/>
            <w:shd w:val="clear" w:color="auto" w:fill="auto"/>
            <w:hideMark/>
          </w:tcPr>
          <w:p w14:paraId="78E659B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6062-2020 del Consejo Superior, mediante el cual comunica el acuerdo de sesión 55-2020 del 4 de junio del 2020, artículo LVI, mediante el cual se conoció el oficio CJP118-2020 sobre el informe de la Dirección de Planificación número 1707-PLA-OI-MI-2019, relativo a la falta de dos fiscales en la Fiscalía de Pococí. </w:t>
            </w:r>
          </w:p>
        </w:tc>
      </w:tr>
      <w:tr w:rsidR="00356493" w:rsidRPr="00266BAD" w14:paraId="6938FEAE" w14:textId="77777777" w:rsidTr="00356493">
        <w:trPr>
          <w:trHeight w:val="1785"/>
        </w:trPr>
        <w:tc>
          <w:tcPr>
            <w:tcW w:w="1456" w:type="dxa"/>
            <w:shd w:val="clear" w:color="auto" w:fill="auto"/>
            <w:vAlign w:val="center"/>
            <w:hideMark/>
          </w:tcPr>
          <w:p w14:paraId="4C15E49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127-2020</w:t>
            </w:r>
          </w:p>
        </w:tc>
        <w:tc>
          <w:tcPr>
            <w:tcW w:w="8175" w:type="dxa"/>
            <w:shd w:val="clear" w:color="auto" w:fill="auto"/>
            <w:hideMark/>
          </w:tcPr>
          <w:p w14:paraId="7EF0715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6020-2020, del Consejo Superior, mediante el cual comunica el acuerdo de sesión 55-2020 del 4 de junio del 2020, artículo XXXII, sobre el oficio CJP117-2020l relacionado con oficio del Consejo Superior número 13136-19 conde consta el acuerdo XLVII de la sesión 107-19 y el oficio del Departamento de Planificación número 1659-PLA-OI-20219, en que nos comunicó el informe relativo al “Rediseño de procesos del Modelo Penal por medio de nuevas tecnologías de información del Juzgado Penal de Pavas”. </w:t>
            </w:r>
          </w:p>
        </w:tc>
      </w:tr>
      <w:tr w:rsidR="00356493" w:rsidRPr="00266BAD" w14:paraId="4702EE3E" w14:textId="77777777" w:rsidTr="00356493">
        <w:trPr>
          <w:trHeight w:val="1020"/>
        </w:trPr>
        <w:tc>
          <w:tcPr>
            <w:tcW w:w="1456" w:type="dxa"/>
            <w:shd w:val="clear" w:color="auto" w:fill="auto"/>
            <w:vAlign w:val="center"/>
            <w:hideMark/>
          </w:tcPr>
          <w:p w14:paraId="4A8F3E9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128-2020</w:t>
            </w:r>
          </w:p>
        </w:tc>
        <w:tc>
          <w:tcPr>
            <w:tcW w:w="8175" w:type="dxa"/>
            <w:shd w:val="clear" w:color="auto" w:fill="auto"/>
            <w:hideMark/>
          </w:tcPr>
          <w:p w14:paraId="7460F77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6209-2020 del Consejo Superior, comunicando acuerdo de sesión 57-2020, del 11 de junio del 2020, artículo XXXV, sobre el oficio CJP126-2020 donde se resuelve una situación atinente a la forma en que estamos asumiendo la disponibilidad. </w:t>
            </w:r>
          </w:p>
        </w:tc>
      </w:tr>
      <w:tr w:rsidR="00356493" w:rsidRPr="00266BAD" w14:paraId="090C6D87" w14:textId="77777777" w:rsidTr="00356493">
        <w:trPr>
          <w:trHeight w:val="1785"/>
        </w:trPr>
        <w:tc>
          <w:tcPr>
            <w:tcW w:w="1456" w:type="dxa"/>
            <w:shd w:val="clear" w:color="auto" w:fill="auto"/>
            <w:vAlign w:val="center"/>
            <w:hideMark/>
          </w:tcPr>
          <w:p w14:paraId="567AA22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129-2020</w:t>
            </w:r>
          </w:p>
        </w:tc>
        <w:tc>
          <w:tcPr>
            <w:tcW w:w="8175" w:type="dxa"/>
            <w:shd w:val="clear" w:color="auto" w:fill="auto"/>
            <w:hideMark/>
          </w:tcPr>
          <w:p w14:paraId="39ABA60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6233-20 del Consejo Superior, comunicando acuerdo de sesión 60-2020, del 18 de junio del 2020, artículo, sobre gestión de la señora Jannette Mena Rodríguez, sobre solicita al Consejo Superior que se valore la posibilidad de asignar el recurso otorgado como parte del Plan Remedial de Descongestionamiento del Rediseño de Procesos en materia penal, del Tribunal de Guápiles al Tribunal Penal de Siquirres ante la emergencia por Covid-19</w:t>
            </w:r>
            <w:r>
              <w:rPr>
                <w:rFonts w:ascii="Cambria" w:eastAsia="Times New Roman" w:hAnsi="Cambria" w:cs="Calibri"/>
                <w:sz w:val="20"/>
                <w:szCs w:val="20"/>
                <w:lang w:eastAsia="es-CR"/>
              </w:rPr>
              <w:t>.</w:t>
            </w:r>
          </w:p>
        </w:tc>
      </w:tr>
      <w:tr w:rsidR="00356493" w:rsidRPr="00266BAD" w14:paraId="67FA575F" w14:textId="77777777" w:rsidTr="00356493">
        <w:trPr>
          <w:trHeight w:val="1020"/>
        </w:trPr>
        <w:tc>
          <w:tcPr>
            <w:tcW w:w="1456" w:type="dxa"/>
            <w:shd w:val="clear" w:color="auto" w:fill="auto"/>
            <w:vAlign w:val="center"/>
            <w:hideMark/>
          </w:tcPr>
          <w:p w14:paraId="3CD27C8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130-2020</w:t>
            </w:r>
          </w:p>
        </w:tc>
        <w:tc>
          <w:tcPr>
            <w:tcW w:w="8175" w:type="dxa"/>
            <w:shd w:val="clear" w:color="auto" w:fill="auto"/>
            <w:hideMark/>
          </w:tcPr>
          <w:p w14:paraId="71FF3DF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6262-2020 del Consejo Superior, comunicando acuerdo de sesión 57-2020 del 11 de junio del 2020, artículo LXI, sobre informe en torno a la nota remitida por el Ministerio de Justicia y Paz en oficio No. MJP-621-09-2019 del 23 de setiembre de 2019</w:t>
            </w:r>
            <w:r>
              <w:rPr>
                <w:rFonts w:ascii="Cambria" w:eastAsia="Times New Roman" w:hAnsi="Cambria" w:cs="Calibri"/>
                <w:sz w:val="20"/>
                <w:szCs w:val="20"/>
                <w:lang w:eastAsia="es-CR"/>
              </w:rPr>
              <w:t>.</w:t>
            </w:r>
          </w:p>
        </w:tc>
      </w:tr>
      <w:tr w:rsidR="00356493" w:rsidRPr="00266BAD" w14:paraId="73037FAA" w14:textId="77777777" w:rsidTr="00356493">
        <w:trPr>
          <w:trHeight w:val="2100"/>
        </w:trPr>
        <w:tc>
          <w:tcPr>
            <w:tcW w:w="1456" w:type="dxa"/>
            <w:shd w:val="clear" w:color="auto" w:fill="auto"/>
            <w:vAlign w:val="center"/>
            <w:hideMark/>
          </w:tcPr>
          <w:p w14:paraId="09F6BB8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131-2020</w:t>
            </w:r>
          </w:p>
        </w:tc>
        <w:tc>
          <w:tcPr>
            <w:tcW w:w="8175" w:type="dxa"/>
            <w:shd w:val="clear" w:color="auto" w:fill="auto"/>
            <w:hideMark/>
          </w:tcPr>
          <w:p w14:paraId="598589C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993-PLA-MI-2020, de la Dirección de Planificación, mediante el cual le copia a la Comisión, el informe Modernización Institucional, relacionado con el resumen de los antecedentes y situación actual respecto a las plazas de Custodias y Custodios de personas detenidas para analizar el movimiento de estas plazas</w:t>
            </w:r>
            <w:r>
              <w:rPr>
                <w:rFonts w:ascii="Cambria" w:eastAsia="Times New Roman" w:hAnsi="Cambria" w:cs="Calibri"/>
                <w:sz w:val="20"/>
                <w:szCs w:val="20"/>
                <w:lang w:eastAsia="es-CR"/>
              </w:rPr>
              <w:t>.</w:t>
            </w:r>
          </w:p>
        </w:tc>
      </w:tr>
      <w:tr w:rsidR="00356493" w:rsidRPr="00266BAD" w14:paraId="1C7BC89A" w14:textId="77777777" w:rsidTr="00356493">
        <w:trPr>
          <w:trHeight w:val="1020"/>
        </w:trPr>
        <w:tc>
          <w:tcPr>
            <w:tcW w:w="1456" w:type="dxa"/>
            <w:shd w:val="clear" w:color="auto" w:fill="auto"/>
            <w:vAlign w:val="center"/>
            <w:hideMark/>
          </w:tcPr>
          <w:p w14:paraId="68459DE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132-2020</w:t>
            </w:r>
          </w:p>
        </w:tc>
        <w:tc>
          <w:tcPr>
            <w:tcW w:w="8175" w:type="dxa"/>
            <w:shd w:val="clear" w:color="auto" w:fill="auto"/>
            <w:hideMark/>
          </w:tcPr>
          <w:p w14:paraId="51C8B95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6393-2020 del Consejo Superior, comunicando acuerdo de sesión 67-2020 del 2 de julio del 2020, artículo LXI, donde se atendió oficio 043-Mag.2.SCP-2020, sobre los criterios de atención según la zona de criticidad definida por el Ministerio de Salud. </w:t>
            </w:r>
          </w:p>
        </w:tc>
      </w:tr>
      <w:tr w:rsidR="00356493" w:rsidRPr="00266BAD" w14:paraId="57785288" w14:textId="77777777" w:rsidTr="00356493">
        <w:trPr>
          <w:trHeight w:val="2100"/>
        </w:trPr>
        <w:tc>
          <w:tcPr>
            <w:tcW w:w="1456" w:type="dxa"/>
            <w:shd w:val="clear" w:color="auto" w:fill="auto"/>
            <w:vAlign w:val="center"/>
            <w:hideMark/>
          </w:tcPr>
          <w:p w14:paraId="53CB8F0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133-2020</w:t>
            </w:r>
          </w:p>
        </w:tc>
        <w:tc>
          <w:tcPr>
            <w:tcW w:w="8175" w:type="dxa"/>
            <w:shd w:val="clear" w:color="auto" w:fill="auto"/>
            <w:hideMark/>
          </w:tcPr>
          <w:p w14:paraId="433B5D5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1018-PLA-OI-MI-2020, de la Dirección de Planificación remitiendo informe relacionado con el conjunto de actividades enfocadas en el abordaje de la Jurisdicción Penal del país, sobre propuesta de Proyecto para el Desarrollo e Implementación del Modelo Estándar Integral del Proceso Pen</w:t>
            </w:r>
            <w:r>
              <w:rPr>
                <w:rFonts w:ascii="Cambria" w:eastAsia="Times New Roman" w:hAnsi="Cambria" w:cs="Calibri"/>
                <w:sz w:val="20"/>
                <w:szCs w:val="20"/>
                <w:lang w:eastAsia="es-CR"/>
              </w:rPr>
              <w:t>al.</w:t>
            </w:r>
          </w:p>
        </w:tc>
      </w:tr>
      <w:tr w:rsidR="00356493" w:rsidRPr="00266BAD" w14:paraId="567FB682" w14:textId="77777777" w:rsidTr="00356493">
        <w:trPr>
          <w:trHeight w:val="1275"/>
        </w:trPr>
        <w:tc>
          <w:tcPr>
            <w:tcW w:w="1456" w:type="dxa"/>
            <w:shd w:val="clear" w:color="auto" w:fill="auto"/>
            <w:vAlign w:val="center"/>
            <w:hideMark/>
          </w:tcPr>
          <w:p w14:paraId="3E02FE4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134-2020</w:t>
            </w:r>
          </w:p>
        </w:tc>
        <w:tc>
          <w:tcPr>
            <w:tcW w:w="8175" w:type="dxa"/>
            <w:shd w:val="clear" w:color="auto" w:fill="auto"/>
            <w:hideMark/>
          </w:tcPr>
          <w:p w14:paraId="13E1BF9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6419-2020 del Consejo Superior, comunicando acuerdo de sesión 66-2020, del 30 de junio de 2020, artículo LXVII, sobre disposiciones a seguir sobre los servicios que el poder judicial brinda en las zonas en que el Poder Ejecutivo ha decretado la alerta naranja debido al COVID-19, vigentes durante el lapso de tiempo en que se mantenga la alerta. </w:t>
            </w:r>
          </w:p>
        </w:tc>
      </w:tr>
      <w:tr w:rsidR="00356493" w:rsidRPr="00266BAD" w14:paraId="40ADC62E" w14:textId="77777777" w:rsidTr="00356493">
        <w:trPr>
          <w:trHeight w:val="1831"/>
        </w:trPr>
        <w:tc>
          <w:tcPr>
            <w:tcW w:w="1456" w:type="dxa"/>
            <w:shd w:val="clear" w:color="auto" w:fill="auto"/>
            <w:vAlign w:val="center"/>
            <w:hideMark/>
          </w:tcPr>
          <w:p w14:paraId="7C896AF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135-2020</w:t>
            </w:r>
          </w:p>
        </w:tc>
        <w:tc>
          <w:tcPr>
            <w:tcW w:w="8175" w:type="dxa"/>
            <w:shd w:val="clear" w:color="auto" w:fill="auto"/>
            <w:hideMark/>
          </w:tcPr>
          <w:p w14:paraId="3ED9B2D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6441-20, del Consejo Superior, comunicando acuerdo de sesión 69-2020, celebrada el 07 de julio del 2020, artículo LIX, sobre gestión de La licenciada Diana Zúñiga Agüero, Defensora Pública Coordinadora de la Defensa Pública de Coto Brus, mediante oficio N° DPCB-10-2020 del 3 de julio de 2020, relativo a la declaratoria de alerta naranja en Coto Brus. </w:t>
            </w:r>
          </w:p>
        </w:tc>
      </w:tr>
      <w:tr w:rsidR="00356493" w:rsidRPr="00266BAD" w14:paraId="1B1E5E41" w14:textId="77777777" w:rsidTr="00356493">
        <w:trPr>
          <w:trHeight w:val="1530"/>
        </w:trPr>
        <w:tc>
          <w:tcPr>
            <w:tcW w:w="1456" w:type="dxa"/>
            <w:shd w:val="clear" w:color="auto" w:fill="auto"/>
            <w:vAlign w:val="center"/>
            <w:hideMark/>
          </w:tcPr>
          <w:p w14:paraId="6598ACC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136-2020</w:t>
            </w:r>
          </w:p>
        </w:tc>
        <w:tc>
          <w:tcPr>
            <w:tcW w:w="8175" w:type="dxa"/>
            <w:shd w:val="clear" w:color="auto" w:fill="auto"/>
            <w:hideMark/>
          </w:tcPr>
          <w:p w14:paraId="2D290E8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Consulta del señor Jorge </w:t>
            </w:r>
            <w:proofErr w:type="spellStart"/>
            <w:r w:rsidRPr="00266BAD">
              <w:rPr>
                <w:rFonts w:ascii="Cambria" w:eastAsia="Times New Roman" w:hAnsi="Cambria" w:cs="Calibri"/>
                <w:sz w:val="20"/>
                <w:szCs w:val="20"/>
                <w:lang w:eastAsia="es-CR"/>
              </w:rPr>
              <w:t>Morlaes</w:t>
            </w:r>
            <w:proofErr w:type="spellEnd"/>
            <w:r w:rsidRPr="00266BAD">
              <w:rPr>
                <w:rFonts w:ascii="Cambria" w:eastAsia="Times New Roman" w:hAnsi="Cambria" w:cs="Calibri"/>
                <w:sz w:val="20"/>
                <w:szCs w:val="20"/>
                <w:lang w:eastAsia="es-CR"/>
              </w:rPr>
              <w:t xml:space="preserve"> </w:t>
            </w:r>
            <w:proofErr w:type="spellStart"/>
            <w:r w:rsidRPr="00266BAD">
              <w:rPr>
                <w:rFonts w:ascii="Cambria" w:eastAsia="Times New Roman" w:hAnsi="Cambria" w:cs="Calibri"/>
                <w:sz w:val="20"/>
                <w:szCs w:val="20"/>
                <w:lang w:eastAsia="es-CR"/>
              </w:rPr>
              <w:t>Garcia</w:t>
            </w:r>
            <w:proofErr w:type="spellEnd"/>
            <w:r w:rsidRPr="00266BAD">
              <w:rPr>
                <w:rFonts w:ascii="Cambria" w:eastAsia="Times New Roman" w:hAnsi="Cambria" w:cs="Calibri"/>
                <w:sz w:val="20"/>
                <w:szCs w:val="20"/>
                <w:lang w:eastAsia="es-CR"/>
              </w:rPr>
              <w:t xml:space="preserve">, mediante correo electrónico del 13-07-2020, sobre las Firmas Digitales y Documentos Electrónicos, posee la misma validez que una firma física. </w:t>
            </w:r>
          </w:p>
        </w:tc>
      </w:tr>
      <w:tr w:rsidR="00356493" w:rsidRPr="00266BAD" w14:paraId="78740868" w14:textId="77777777" w:rsidTr="00356493">
        <w:trPr>
          <w:trHeight w:val="1020"/>
        </w:trPr>
        <w:tc>
          <w:tcPr>
            <w:tcW w:w="1456" w:type="dxa"/>
            <w:shd w:val="clear" w:color="auto" w:fill="auto"/>
            <w:vAlign w:val="center"/>
            <w:hideMark/>
          </w:tcPr>
          <w:p w14:paraId="7712B2F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137-2020</w:t>
            </w:r>
          </w:p>
        </w:tc>
        <w:tc>
          <w:tcPr>
            <w:tcW w:w="8175" w:type="dxa"/>
            <w:shd w:val="clear" w:color="auto" w:fill="auto"/>
            <w:hideMark/>
          </w:tcPr>
          <w:p w14:paraId="23686EE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6476-2020 del Consejo Superior, remitiendo acuerdo de sesión 59-2020 del 16 de junio del 2020, artículo LXI, sobre el oficio 447-DG-2020 del OIJ, sobre problema con cantidad de custodios. </w:t>
            </w:r>
          </w:p>
        </w:tc>
      </w:tr>
      <w:tr w:rsidR="00356493" w:rsidRPr="00266BAD" w14:paraId="046052A5" w14:textId="77777777" w:rsidTr="00356493">
        <w:trPr>
          <w:trHeight w:val="1275"/>
        </w:trPr>
        <w:tc>
          <w:tcPr>
            <w:tcW w:w="1456" w:type="dxa"/>
            <w:shd w:val="clear" w:color="auto" w:fill="auto"/>
            <w:vAlign w:val="center"/>
            <w:hideMark/>
          </w:tcPr>
          <w:p w14:paraId="1673723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138-2020</w:t>
            </w:r>
          </w:p>
        </w:tc>
        <w:tc>
          <w:tcPr>
            <w:tcW w:w="8175" w:type="dxa"/>
            <w:shd w:val="clear" w:color="auto" w:fill="auto"/>
            <w:hideMark/>
          </w:tcPr>
          <w:p w14:paraId="65F1B2A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6546-2020 del Consejo Superior, mediante el cual comunican acuerdo de sesión 33-2020 del 15 de junio de 2020, artículo XVI, referentes a los resultados del trabajo que han hecho las diferentes oficinas del Poder Judicial, con motivo de la declaratoria de estado de emergencia nacional, debido a la situación sanitaria provocada por el COVID-19</w:t>
            </w:r>
            <w:r>
              <w:rPr>
                <w:rFonts w:ascii="Cambria" w:eastAsia="Times New Roman" w:hAnsi="Cambria" w:cs="Calibri"/>
                <w:sz w:val="20"/>
                <w:szCs w:val="20"/>
                <w:lang w:eastAsia="es-CR"/>
              </w:rPr>
              <w:t>.</w:t>
            </w:r>
          </w:p>
        </w:tc>
      </w:tr>
      <w:tr w:rsidR="00356493" w:rsidRPr="00266BAD" w14:paraId="3A9F4DBB" w14:textId="77777777" w:rsidTr="00356493">
        <w:trPr>
          <w:trHeight w:val="1785"/>
        </w:trPr>
        <w:tc>
          <w:tcPr>
            <w:tcW w:w="1456" w:type="dxa"/>
            <w:shd w:val="clear" w:color="auto" w:fill="auto"/>
            <w:vAlign w:val="center"/>
            <w:hideMark/>
          </w:tcPr>
          <w:p w14:paraId="7E4F357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139-2020</w:t>
            </w:r>
          </w:p>
        </w:tc>
        <w:tc>
          <w:tcPr>
            <w:tcW w:w="8175" w:type="dxa"/>
            <w:shd w:val="clear" w:color="auto" w:fill="auto"/>
            <w:hideMark/>
          </w:tcPr>
          <w:p w14:paraId="3FC318E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6569-2020, del Consejo Superior, mediante el cual nos comunican acuerdo de sesión 64-2020 del 23 de julio del 2020, artículo LXXI, sobre el acuerdo tomado el día de hoy por el comité de fiscales coordinadores de la Fiscalía de Probidad, Transparencia y Anticorrupción, en adelante FAPTA- se solicita su intervención con carácter de urgencia por un tema de administración; por la tardía en las resoluciones de realización o suspensiones de juicios y audiencias de la Jurisdicción Penal de Hacienda. </w:t>
            </w:r>
          </w:p>
        </w:tc>
      </w:tr>
      <w:tr w:rsidR="00356493" w:rsidRPr="00266BAD" w14:paraId="74BC0B7E" w14:textId="77777777" w:rsidTr="00356493">
        <w:trPr>
          <w:trHeight w:val="1020"/>
        </w:trPr>
        <w:tc>
          <w:tcPr>
            <w:tcW w:w="1456" w:type="dxa"/>
            <w:shd w:val="clear" w:color="auto" w:fill="auto"/>
            <w:vAlign w:val="center"/>
            <w:hideMark/>
          </w:tcPr>
          <w:p w14:paraId="0C75C36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140-2020</w:t>
            </w:r>
          </w:p>
        </w:tc>
        <w:tc>
          <w:tcPr>
            <w:tcW w:w="8175" w:type="dxa"/>
            <w:shd w:val="clear" w:color="auto" w:fill="auto"/>
            <w:hideMark/>
          </w:tcPr>
          <w:p w14:paraId="1CD6BA7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1057-PLA-OI-2020, de la Dirección de Planificación, relacionado con la competencia para abordar las solicitudes de órdenes de allanamiento por parte del Ministerio de Salud</w:t>
            </w:r>
            <w:r>
              <w:rPr>
                <w:rFonts w:ascii="Cambria" w:eastAsia="Times New Roman" w:hAnsi="Cambria" w:cs="Calibri"/>
                <w:sz w:val="20"/>
                <w:szCs w:val="20"/>
                <w:lang w:eastAsia="es-CR"/>
              </w:rPr>
              <w:t>.</w:t>
            </w:r>
          </w:p>
        </w:tc>
      </w:tr>
      <w:tr w:rsidR="00356493" w:rsidRPr="00266BAD" w14:paraId="74656FEB" w14:textId="77777777" w:rsidTr="00356493">
        <w:trPr>
          <w:trHeight w:val="1800"/>
        </w:trPr>
        <w:tc>
          <w:tcPr>
            <w:tcW w:w="1456" w:type="dxa"/>
            <w:shd w:val="clear" w:color="auto" w:fill="auto"/>
            <w:vAlign w:val="center"/>
            <w:hideMark/>
          </w:tcPr>
          <w:p w14:paraId="6D11DDA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141-2020</w:t>
            </w:r>
          </w:p>
        </w:tc>
        <w:tc>
          <w:tcPr>
            <w:tcW w:w="8175" w:type="dxa"/>
            <w:shd w:val="clear" w:color="auto" w:fill="auto"/>
            <w:hideMark/>
          </w:tcPr>
          <w:p w14:paraId="61722E4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1061-PLA-OI-2020, de la Dirección de Planificación, relacionado con el Rediseño de Procesos del modelo Penal por medio de nuevas tecnologías de información de la Sección de Flagrancia del Tribunal Penal del I Circuito Judicial de la Zona Atlántica. </w:t>
            </w:r>
          </w:p>
        </w:tc>
      </w:tr>
      <w:tr w:rsidR="00356493" w:rsidRPr="00266BAD" w14:paraId="746C3BF4" w14:textId="77777777" w:rsidTr="00356493">
        <w:trPr>
          <w:trHeight w:val="1785"/>
        </w:trPr>
        <w:tc>
          <w:tcPr>
            <w:tcW w:w="1456" w:type="dxa"/>
            <w:shd w:val="clear" w:color="auto" w:fill="auto"/>
            <w:vAlign w:val="center"/>
            <w:hideMark/>
          </w:tcPr>
          <w:p w14:paraId="7283715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142-2020</w:t>
            </w:r>
          </w:p>
        </w:tc>
        <w:tc>
          <w:tcPr>
            <w:tcW w:w="8175" w:type="dxa"/>
            <w:shd w:val="clear" w:color="auto" w:fill="auto"/>
            <w:hideMark/>
          </w:tcPr>
          <w:p w14:paraId="379F46C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6678-2020 del Consejo Superior, remitiendo acuerdo de la sesión 70-2020 del 9 de julio del 2020, artículo LIV, mediante el cual comunican la gestión de la Coordinadora del Juzgado Penal de Hacienda y Función Pública del Segundo Circuito Judicial de San José, donde se procurará la realización de las diligencias ya señaladas siempre y cuando ello sea posible y no se ponga en riesgo ni la salud ni la vida de las personas funcionarias de nuestras oficinas ni la de las personas usuarias. </w:t>
            </w:r>
          </w:p>
        </w:tc>
      </w:tr>
      <w:tr w:rsidR="00356493" w:rsidRPr="00266BAD" w14:paraId="3FC6DE62" w14:textId="77777777" w:rsidTr="00356493">
        <w:trPr>
          <w:trHeight w:val="1530"/>
        </w:trPr>
        <w:tc>
          <w:tcPr>
            <w:tcW w:w="1456" w:type="dxa"/>
            <w:shd w:val="clear" w:color="auto" w:fill="auto"/>
            <w:vAlign w:val="center"/>
            <w:hideMark/>
          </w:tcPr>
          <w:p w14:paraId="7744E7C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143-2020</w:t>
            </w:r>
          </w:p>
        </w:tc>
        <w:tc>
          <w:tcPr>
            <w:tcW w:w="8175" w:type="dxa"/>
            <w:shd w:val="clear" w:color="auto" w:fill="auto"/>
            <w:hideMark/>
          </w:tcPr>
          <w:p w14:paraId="297D1CC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6740-20 del Consejo Superior, remitiendo acuerdo de sesión 72-2020- del 16 de julio del 2020, artículo LXXIII, en atención a las medidas adoptadas por el Ministerio de Salud, así como el decreto ejecutivo 42227-MS emitido el día 16 de marzo de 2020, en que se declara estado de emergencia nacional en todo el territorio de la República de Costa Rica, debido a la situación de emergencia sanitaria provocada por la enfermedad COVID-19. </w:t>
            </w:r>
          </w:p>
        </w:tc>
      </w:tr>
      <w:tr w:rsidR="00356493" w:rsidRPr="00266BAD" w14:paraId="794389F2" w14:textId="77777777" w:rsidTr="00356493">
        <w:trPr>
          <w:trHeight w:val="1785"/>
        </w:trPr>
        <w:tc>
          <w:tcPr>
            <w:tcW w:w="1456" w:type="dxa"/>
            <w:shd w:val="clear" w:color="auto" w:fill="auto"/>
            <w:vAlign w:val="center"/>
            <w:hideMark/>
          </w:tcPr>
          <w:p w14:paraId="4B4E1D6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144-2020</w:t>
            </w:r>
          </w:p>
        </w:tc>
        <w:tc>
          <w:tcPr>
            <w:tcW w:w="8175" w:type="dxa"/>
            <w:shd w:val="clear" w:color="auto" w:fill="auto"/>
            <w:hideMark/>
          </w:tcPr>
          <w:p w14:paraId="0ECA12E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señora Cinthia Sáenz Valerio, de fecha 9 de julio del 2020, mediante el cual traslada a la Comisión gestión sobre siguiente plan de trabajo para nuestros juzgados, en razón de la Circular 57-2020, y en búsqueda del cumplimiento de las Ordenes Sanitarias del Ministerio de Salud, que nos convoca a realizar teletrabajo, a no salir de las casas y a procurar el distanciamiento social, y que a su vez cumplamos con dar un servicio de calidad hacia nuestros usuarios, procurando teletrabajo, así como mantener controlable y baja la línea de crecimiento de casos con COVID-19</w:t>
            </w:r>
            <w:r>
              <w:rPr>
                <w:rFonts w:ascii="Cambria" w:eastAsia="Times New Roman" w:hAnsi="Cambria" w:cs="Calibri"/>
                <w:sz w:val="20"/>
                <w:szCs w:val="20"/>
                <w:lang w:eastAsia="es-CR"/>
              </w:rPr>
              <w:t>.</w:t>
            </w:r>
          </w:p>
        </w:tc>
      </w:tr>
      <w:tr w:rsidR="00356493" w:rsidRPr="00266BAD" w14:paraId="4720C009" w14:textId="77777777" w:rsidTr="00356493">
        <w:trPr>
          <w:trHeight w:val="765"/>
        </w:trPr>
        <w:tc>
          <w:tcPr>
            <w:tcW w:w="1456" w:type="dxa"/>
            <w:shd w:val="clear" w:color="auto" w:fill="auto"/>
            <w:vAlign w:val="center"/>
            <w:hideMark/>
          </w:tcPr>
          <w:p w14:paraId="2F0FEFF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145-2020</w:t>
            </w:r>
          </w:p>
        </w:tc>
        <w:tc>
          <w:tcPr>
            <w:tcW w:w="8175" w:type="dxa"/>
            <w:shd w:val="clear" w:color="auto" w:fill="auto"/>
            <w:hideMark/>
          </w:tcPr>
          <w:p w14:paraId="1174C11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6694-20 del Consejo Superior, de sesión 70-2020 del 9 de julio de 2020, artículo LIII, sobre medidas adoptadas por el Juzgado Contravencional de Bagaces, ante Covid-19</w:t>
            </w:r>
            <w:r>
              <w:rPr>
                <w:rFonts w:ascii="Cambria" w:eastAsia="Times New Roman" w:hAnsi="Cambria" w:cs="Calibri"/>
                <w:sz w:val="20"/>
                <w:szCs w:val="20"/>
                <w:lang w:eastAsia="es-CR"/>
              </w:rPr>
              <w:t>.</w:t>
            </w:r>
          </w:p>
        </w:tc>
      </w:tr>
      <w:tr w:rsidR="00356493" w:rsidRPr="00266BAD" w14:paraId="06B37496" w14:textId="77777777" w:rsidTr="00356493">
        <w:trPr>
          <w:trHeight w:val="1800"/>
        </w:trPr>
        <w:tc>
          <w:tcPr>
            <w:tcW w:w="1456" w:type="dxa"/>
            <w:shd w:val="clear" w:color="auto" w:fill="auto"/>
            <w:vAlign w:val="center"/>
            <w:hideMark/>
          </w:tcPr>
          <w:p w14:paraId="4E73FEF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146-2020</w:t>
            </w:r>
          </w:p>
        </w:tc>
        <w:tc>
          <w:tcPr>
            <w:tcW w:w="8175" w:type="dxa"/>
            <w:shd w:val="clear" w:color="auto" w:fill="auto"/>
            <w:hideMark/>
          </w:tcPr>
          <w:p w14:paraId="5308766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1071-PLA-OI-2020, de la Dirección de Planificación, mediante el cual remiten el informe relacionado con el Rediseño de Procesos del Tribunal Penal de Limón. </w:t>
            </w:r>
          </w:p>
        </w:tc>
      </w:tr>
      <w:tr w:rsidR="00356493" w:rsidRPr="00266BAD" w14:paraId="2D61E125" w14:textId="77777777" w:rsidTr="00356493">
        <w:trPr>
          <w:trHeight w:val="1530"/>
        </w:trPr>
        <w:tc>
          <w:tcPr>
            <w:tcW w:w="1456" w:type="dxa"/>
            <w:shd w:val="clear" w:color="auto" w:fill="auto"/>
            <w:vAlign w:val="center"/>
            <w:hideMark/>
          </w:tcPr>
          <w:p w14:paraId="2D8C5B3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147-2020</w:t>
            </w:r>
          </w:p>
        </w:tc>
        <w:tc>
          <w:tcPr>
            <w:tcW w:w="8175" w:type="dxa"/>
            <w:shd w:val="clear" w:color="auto" w:fill="auto"/>
            <w:hideMark/>
          </w:tcPr>
          <w:p w14:paraId="7C92F8D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6762-2020 del Consejo Superior, acuerdo de sesión 66-2020 del 30 de junio de 2020, artículo XL, solicitando criterio de la Comisión al respecto del Oficio TZS-OSA-230-2020 del 19 de junio de 2020, de la licenciada Carmen María Rodríguez Montoya, jueza coordinadora del Tribunal de Juicio de Osa. </w:t>
            </w:r>
          </w:p>
        </w:tc>
      </w:tr>
      <w:tr w:rsidR="00356493" w:rsidRPr="00266BAD" w14:paraId="0C281D18" w14:textId="77777777" w:rsidTr="00356493">
        <w:trPr>
          <w:trHeight w:val="1785"/>
        </w:trPr>
        <w:tc>
          <w:tcPr>
            <w:tcW w:w="1456" w:type="dxa"/>
            <w:shd w:val="clear" w:color="auto" w:fill="auto"/>
            <w:vAlign w:val="center"/>
            <w:hideMark/>
          </w:tcPr>
          <w:p w14:paraId="1F071E6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148-2020</w:t>
            </w:r>
          </w:p>
        </w:tc>
        <w:tc>
          <w:tcPr>
            <w:tcW w:w="8175" w:type="dxa"/>
            <w:shd w:val="clear" w:color="auto" w:fill="auto"/>
            <w:hideMark/>
          </w:tcPr>
          <w:p w14:paraId="6F257C8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6713-2020 del Consejo Superior, mediante el cual remiten el acuerdo de sesión 70-2020 del 9 de julio del 2020, artículo LV, sobre correo electrónico del 29 de junio de 2020, el máster Pedro Méndez Aguilar, Juez Coordinador interino del Tribunal Penal del Tercer Circuito Judicial de San José, Sede Suroeste, remitió un protocolo que ha sido elaborado para ser aplicado en el citado Tribunal con ocasión de la emergencia nacional por el Covid-19, se hace de conocimiento de la Comisión. </w:t>
            </w:r>
          </w:p>
        </w:tc>
      </w:tr>
      <w:tr w:rsidR="00356493" w:rsidRPr="00266BAD" w14:paraId="2294646B" w14:textId="77777777" w:rsidTr="00356493">
        <w:trPr>
          <w:trHeight w:val="1785"/>
        </w:trPr>
        <w:tc>
          <w:tcPr>
            <w:tcW w:w="1456" w:type="dxa"/>
            <w:shd w:val="clear" w:color="auto" w:fill="auto"/>
            <w:vAlign w:val="center"/>
            <w:hideMark/>
          </w:tcPr>
          <w:p w14:paraId="79F0DC8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149-2020</w:t>
            </w:r>
          </w:p>
        </w:tc>
        <w:tc>
          <w:tcPr>
            <w:tcW w:w="8175" w:type="dxa"/>
            <w:shd w:val="clear" w:color="auto" w:fill="auto"/>
            <w:hideMark/>
          </w:tcPr>
          <w:p w14:paraId="2849642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6808-20 del Consejo Superior, mediante el cual remite copia del acuerdo de sesión 71-2020 del 14 de julio del 2020, artículo XXI, donde se atendió oficio N° 687-72-SAEE-2020 de fecha 16 de junio de 2020, el licenciado Roberth García González, Auditor Judicial, remite el informe correspondiente a la evaluación efectuada por la Sección de Auditoría de Estudios Especiales, denominada “Evaluación del Sistema de Control interno en la bodega de drogas del Organismo de Investigación Judicial”</w:t>
            </w:r>
            <w:r>
              <w:rPr>
                <w:rFonts w:ascii="Cambria" w:eastAsia="Times New Roman" w:hAnsi="Cambria" w:cs="Calibri"/>
                <w:sz w:val="20"/>
                <w:szCs w:val="20"/>
                <w:lang w:eastAsia="es-CR"/>
              </w:rPr>
              <w:t>.</w:t>
            </w:r>
          </w:p>
        </w:tc>
      </w:tr>
      <w:tr w:rsidR="00356493" w:rsidRPr="00266BAD" w14:paraId="6F03A91F" w14:textId="77777777" w:rsidTr="00356493">
        <w:trPr>
          <w:trHeight w:val="1785"/>
        </w:trPr>
        <w:tc>
          <w:tcPr>
            <w:tcW w:w="1456" w:type="dxa"/>
            <w:shd w:val="clear" w:color="auto" w:fill="auto"/>
            <w:vAlign w:val="center"/>
            <w:hideMark/>
          </w:tcPr>
          <w:p w14:paraId="31DD297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151-2020</w:t>
            </w:r>
          </w:p>
        </w:tc>
        <w:tc>
          <w:tcPr>
            <w:tcW w:w="8175" w:type="dxa"/>
            <w:shd w:val="clear" w:color="auto" w:fill="auto"/>
            <w:hideMark/>
          </w:tcPr>
          <w:p w14:paraId="0C8BECA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6744-2020, del Consejo Superior, mediante el cual comunican el acuerdo de sesión 70-2020 del 9 de julio de 2020, artículo LII, donde se conoció el oficio N° 23-CAIICJZA-2020, del Licenciado Jeffrey Thomas Daniels y el máster Miguel Gutiérrez Fernández, por su orden Presidente y Secretario del Consejo de Administración del Segundo Circuito Judicial de la Zona Atlántica, mediante el cual remite los planes para un determinado grupo de despachos, ante la declaratoria de alerta naranja. </w:t>
            </w:r>
          </w:p>
        </w:tc>
      </w:tr>
      <w:tr w:rsidR="00356493" w:rsidRPr="00266BAD" w14:paraId="5257E100" w14:textId="77777777" w:rsidTr="00356493">
        <w:trPr>
          <w:trHeight w:val="1200"/>
        </w:trPr>
        <w:tc>
          <w:tcPr>
            <w:tcW w:w="1456" w:type="dxa"/>
            <w:shd w:val="clear" w:color="auto" w:fill="auto"/>
            <w:vAlign w:val="center"/>
            <w:hideMark/>
          </w:tcPr>
          <w:p w14:paraId="7A7C094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152-2020</w:t>
            </w:r>
          </w:p>
        </w:tc>
        <w:tc>
          <w:tcPr>
            <w:tcW w:w="8175" w:type="dxa"/>
            <w:shd w:val="clear" w:color="auto" w:fill="auto"/>
            <w:hideMark/>
          </w:tcPr>
          <w:p w14:paraId="037C4B0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CACC-336-2020 de la Unidad de Acceso a la Justicia del Poder Judicial, consultando a la Comisión informar sobre las acciones realizadas desde el ámbito de Jurisdicción Penal, asociados al artículo 56 y 67 de la Ley de acceso a la Justicia. </w:t>
            </w:r>
          </w:p>
        </w:tc>
      </w:tr>
      <w:tr w:rsidR="00356493" w:rsidRPr="00266BAD" w14:paraId="314C023E" w14:textId="77777777" w:rsidTr="00356493">
        <w:trPr>
          <w:trHeight w:val="1800"/>
        </w:trPr>
        <w:tc>
          <w:tcPr>
            <w:tcW w:w="1456" w:type="dxa"/>
            <w:shd w:val="clear" w:color="auto" w:fill="auto"/>
            <w:vAlign w:val="center"/>
            <w:hideMark/>
          </w:tcPr>
          <w:p w14:paraId="105FAE7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153-2020</w:t>
            </w:r>
          </w:p>
        </w:tc>
        <w:tc>
          <w:tcPr>
            <w:tcW w:w="8175" w:type="dxa"/>
            <w:shd w:val="clear" w:color="auto" w:fill="auto"/>
            <w:hideMark/>
          </w:tcPr>
          <w:p w14:paraId="41B3FF0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1102-PLA-OI-2020, de la Dirección de Planificación, mediante el cual se remite el informe relacionado con el Rediseño de Procesos del modelo Penal por medio de nuevas tecnologías de información del Juzgado Penal de Talamanca.</w:t>
            </w:r>
          </w:p>
        </w:tc>
      </w:tr>
      <w:tr w:rsidR="00356493" w:rsidRPr="00266BAD" w14:paraId="6B96D193" w14:textId="77777777" w:rsidTr="00356493">
        <w:trPr>
          <w:trHeight w:val="1020"/>
        </w:trPr>
        <w:tc>
          <w:tcPr>
            <w:tcW w:w="1456" w:type="dxa"/>
            <w:shd w:val="clear" w:color="auto" w:fill="auto"/>
            <w:vAlign w:val="center"/>
            <w:hideMark/>
          </w:tcPr>
          <w:p w14:paraId="4BFED5A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154-2020</w:t>
            </w:r>
          </w:p>
        </w:tc>
        <w:tc>
          <w:tcPr>
            <w:tcW w:w="8175" w:type="dxa"/>
            <w:shd w:val="clear" w:color="auto" w:fill="auto"/>
            <w:hideMark/>
          </w:tcPr>
          <w:p w14:paraId="0A57F67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1108-PLA-OI-2020, de la Dirección de Planificación, mediante el cual nos remite el informe final relacionado con el funcionamiento del Sistema de Justicia Penal durante la atención de la emergencia nacional. </w:t>
            </w:r>
          </w:p>
        </w:tc>
      </w:tr>
      <w:tr w:rsidR="00356493" w:rsidRPr="00266BAD" w14:paraId="557BCBF4" w14:textId="77777777" w:rsidTr="00356493">
        <w:trPr>
          <w:trHeight w:val="1530"/>
        </w:trPr>
        <w:tc>
          <w:tcPr>
            <w:tcW w:w="1456" w:type="dxa"/>
            <w:shd w:val="clear" w:color="auto" w:fill="auto"/>
            <w:vAlign w:val="center"/>
            <w:hideMark/>
          </w:tcPr>
          <w:p w14:paraId="13F2E3E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155-2020</w:t>
            </w:r>
          </w:p>
        </w:tc>
        <w:tc>
          <w:tcPr>
            <w:tcW w:w="8175" w:type="dxa"/>
            <w:shd w:val="clear" w:color="auto" w:fill="auto"/>
            <w:hideMark/>
          </w:tcPr>
          <w:p w14:paraId="681DACD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6909-2020 de la Secretaría General de la Corte, mediante el cual trasladan el correo de la señora Jueza Penal Natalia Rodríguez Solís, mediante el cual solicita aclaración o reconsideración de las disposiciones de Corte, en cuanto al tema de los allanamientos en zonas decretadas como en alerta naranja, por motivo del Covid-19. </w:t>
            </w:r>
          </w:p>
        </w:tc>
      </w:tr>
      <w:tr w:rsidR="00356493" w:rsidRPr="00266BAD" w14:paraId="4C2FF45D" w14:textId="77777777" w:rsidTr="00356493">
        <w:trPr>
          <w:trHeight w:val="1020"/>
        </w:trPr>
        <w:tc>
          <w:tcPr>
            <w:tcW w:w="1456" w:type="dxa"/>
            <w:shd w:val="clear" w:color="auto" w:fill="auto"/>
            <w:vAlign w:val="center"/>
            <w:hideMark/>
          </w:tcPr>
          <w:p w14:paraId="094C3D6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157-2020</w:t>
            </w:r>
          </w:p>
        </w:tc>
        <w:tc>
          <w:tcPr>
            <w:tcW w:w="8175" w:type="dxa"/>
            <w:shd w:val="clear" w:color="auto" w:fill="auto"/>
            <w:hideMark/>
          </w:tcPr>
          <w:p w14:paraId="4CDCC2F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7117-2020, mediante el cual se comunica el acuerdo del Consejo Superior, de sesión 74-2020 del 23 de julio del 2020, artículo XV, en relación con el oficio CJP156-2020 sobre instar a los jueces a utilizar los medios tecnológicos para hacer audiencias virtuales</w:t>
            </w:r>
            <w:r>
              <w:rPr>
                <w:rFonts w:ascii="Cambria" w:eastAsia="Times New Roman" w:hAnsi="Cambria" w:cs="Calibri"/>
                <w:sz w:val="20"/>
                <w:szCs w:val="20"/>
                <w:lang w:eastAsia="es-CR"/>
              </w:rPr>
              <w:t>.</w:t>
            </w:r>
          </w:p>
        </w:tc>
      </w:tr>
      <w:tr w:rsidR="00356493" w:rsidRPr="00266BAD" w14:paraId="0E3034FE" w14:textId="77777777" w:rsidTr="00356493">
        <w:trPr>
          <w:trHeight w:val="1020"/>
        </w:trPr>
        <w:tc>
          <w:tcPr>
            <w:tcW w:w="1456" w:type="dxa"/>
            <w:shd w:val="clear" w:color="auto" w:fill="auto"/>
            <w:vAlign w:val="center"/>
            <w:hideMark/>
          </w:tcPr>
          <w:p w14:paraId="66BE78F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158-2020</w:t>
            </w:r>
          </w:p>
        </w:tc>
        <w:tc>
          <w:tcPr>
            <w:tcW w:w="8175" w:type="dxa"/>
            <w:shd w:val="clear" w:color="auto" w:fill="auto"/>
            <w:hideMark/>
          </w:tcPr>
          <w:p w14:paraId="3432714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7024-2020, mediante el cual se comunica el acuerdo del Consejo Superior, de sesión 73-2020 del 21 de julio de 2020, artículo LIX, sobre medidas adoptadas por el Juzgado Penal de Grecia, en razón de la declaratoria de alerta naranja. </w:t>
            </w:r>
          </w:p>
        </w:tc>
      </w:tr>
      <w:tr w:rsidR="00356493" w:rsidRPr="00266BAD" w14:paraId="2B3A6901" w14:textId="77777777" w:rsidTr="00356493">
        <w:trPr>
          <w:trHeight w:val="1020"/>
        </w:trPr>
        <w:tc>
          <w:tcPr>
            <w:tcW w:w="1456" w:type="dxa"/>
            <w:shd w:val="clear" w:color="auto" w:fill="auto"/>
            <w:vAlign w:val="center"/>
            <w:hideMark/>
          </w:tcPr>
          <w:p w14:paraId="6A6DAE5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159-2020</w:t>
            </w:r>
          </w:p>
        </w:tc>
        <w:tc>
          <w:tcPr>
            <w:tcW w:w="8175" w:type="dxa"/>
            <w:shd w:val="clear" w:color="auto" w:fill="auto"/>
            <w:hideMark/>
          </w:tcPr>
          <w:p w14:paraId="0CC6370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7069-2020, mediante el cual se comunica el acuerdo del Consejo Superior, de sesión 73-2020 del 21 de julio de 2020, artículo LXII, en relación con las medidas adoptadas por el Juzgado Contravencional de Escazú, por motivo de la declaratoria en alerta naranja. </w:t>
            </w:r>
          </w:p>
        </w:tc>
      </w:tr>
      <w:tr w:rsidR="00356493" w:rsidRPr="00266BAD" w14:paraId="13B84199" w14:textId="77777777" w:rsidTr="00356493">
        <w:trPr>
          <w:trHeight w:val="1020"/>
        </w:trPr>
        <w:tc>
          <w:tcPr>
            <w:tcW w:w="1456" w:type="dxa"/>
            <w:shd w:val="clear" w:color="auto" w:fill="auto"/>
            <w:vAlign w:val="center"/>
            <w:hideMark/>
          </w:tcPr>
          <w:p w14:paraId="7ADB143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160-2020</w:t>
            </w:r>
          </w:p>
        </w:tc>
        <w:tc>
          <w:tcPr>
            <w:tcW w:w="8175" w:type="dxa"/>
            <w:shd w:val="clear" w:color="auto" w:fill="auto"/>
            <w:hideMark/>
          </w:tcPr>
          <w:p w14:paraId="41A28AE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7025-2020, mediante el cual se comunica el acuerdo del Consejo Superior, de sesión 73-2020 del 21 de julio de 2020, artículo LXIII, en relación con las medidas adoptadas por el Juzgado Contravencional de Cartago, por motivo de la declaratoria en alerta naranja. </w:t>
            </w:r>
          </w:p>
        </w:tc>
      </w:tr>
      <w:tr w:rsidR="00356493" w:rsidRPr="00266BAD" w14:paraId="57869296" w14:textId="77777777" w:rsidTr="00356493">
        <w:trPr>
          <w:trHeight w:val="1020"/>
        </w:trPr>
        <w:tc>
          <w:tcPr>
            <w:tcW w:w="1456" w:type="dxa"/>
            <w:shd w:val="clear" w:color="auto" w:fill="auto"/>
            <w:vAlign w:val="center"/>
            <w:hideMark/>
          </w:tcPr>
          <w:p w14:paraId="1EB9577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161-2020</w:t>
            </w:r>
          </w:p>
        </w:tc>
        <w:tc>
          <w:tcPr>
            <w:tcW w:w="8175" w:type="dxa"/>
            <w:shd w:val="clear" w:color="auto" w:fill="auto"/>
            <w:hideMark/>
          </w:tcPr>
          <w:p w14:paraId="475D0B4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7027-2020, mediante el cual se comunica el acuerdo del Consejo Superior, de sesión 73-2020 del 21 de julio del 2020, artículo LXVII, mediante el cual se comunica las medidas adoptadas por el Tribunal de Apelación de Sentencia Penal de San José. </w:t>
            </w:r>
          </w:p>
        </w:tc>
      </w:tr>
      <w:tr w:rsidR="00356493" w:rsidRPr="00266BAD" w14:paraId="350A062D" w14:textId="77777777" w:rsidTr="00356493">
        <w:trPr>
          <w:trHeight w:val="1275"/>
        </w:trPr>
        <w:tc>
          <w:tcPr>
            <w:tcW w:w="1456" w:type="dxa"/>
            <w:shd w:val="clear" w:color="auto" w:fill="auto"/>
            <w:vAlign w:val="center"/>
            <w:hideMark/>
          </w:tcPr>
          <w:p w14:paraId="60B25EA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162-2020</w:t>
            </w:r>
          </w:p>
        </w:tc>
        <w:tc>
          <w:tcPr>
            <w:tcW w:w="8175" w:type="dxa"/>
            <w:shd w:val="clear" w:color="auto" w:fill="auto"/>
            <w:hideMark/>
          </w:tcPr>
          <w:p w14:paraId="35E5340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7166-2020 del Consejo Superior, mediante el cual comunica el acuerdo de sesión 76-2020 del 30 de julio de 2020, artículo XXVII, mediante el cual se acordó lo correspondiente al informe 950-PLA-2020 de la Dirección de Planificación, (consulta 118-2020) integraciones para la atención de la emergencia. </w:t>
            </w:r>
          </w:p>
        </w:tc>
      </w:tr>
      <w:tr w:rsidR="00356493" w:rsidRPr="00266BAD" w14:paraId="3422C153" w14:textId="77777777" w:rsidTr="00356493">
        <w:trPr>
          <w:trHeight w:val="1020"/>
        </w:trPr>
        <w:tc>
          <w:tcPr>
            <w:tcW w:w="1456" w:type="dxa"/>
            <w:shd w:val="clear" w:color="auto" w:fill="auto"/>
            <w:vAlign w:val="center"/>
            <w:hideMark/>
          </w:tcPr>
          <w:p w14:paraId="5C9BBC1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163-2020</w:t>
            </w:r>
          </w:p>
        </w:tc>
        <w:tc>
          <w:tcPr>
            <w:tcW w:w="8175" w:type="dxa"/>
            <w:shd w:val="clear" w:color="auto" w:fill="auto"/>
            <w:hideMark/>
          </w:tcPr>
          <w:p w14:paraId="5D8AE29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7056-2020 del Consejo Superior, mediante el cual comunica el acuerdo de sesión 73-2020 del 21 de julio del 2020, artículo LXVIII, mediante el cual se comunica las medidas adoptadas por el Juzgado Contravencional de Santa Ana, al respecto de la declaratoria de alerta Naranja. </w:t>
            </w:r>
          </w:p>
        </w:tc>
      </w:tr>
      <w:tr w:rsidR="00356493" w:rsidRPr="00266BAD" w14:paraId="35D06713" w14:textId="77777777" w:rsidTr="00356493">
        <w:trPr>
          <w:trHeight w:val="1020"/>
        </w:trPr>
        <w:tc>
          <w:tcPr>
            <w:tcW w:w="1456" w:type="dxa"/>
            <w:shd w:val="clear" w:color="auto" w:fill="auto"/>
            <w:vAlign w:val="center"/>
            <w:hideMark/>
          </w:tcPr>
          <w:p w14:paraId="345F4F2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164-2020</w:t>
            </w:r>
          </w:p>
        </w:tc>
        <w:tc>
          <w:tcPr>
            <w:tcW w:w="8175" w:type="dxa"/>
            <w:shd w:val="clear" w:color="auto" w:fill="auto"/>
            <w:hideMark/>
          </w:tcPr>
          <w:p w14:paraId="476CD91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7063-2020 del Consejo Superior, mediante el cual se comunica el acuerdo de sesión 73-2020 del 21 de julio del 2020, artículo LX, mediante el cual se comunica las medidas adoptadas por el Juzgado Contravencional de Bribrí, al respecto de las declaratoria de emergencia. </w:t>
            </w:r>
          </w:p>
        </w:tc>
      </w:tr>
      <w:tr w:rsidR="00356493" w:rsidRPr="00266BAD" w14:paraId="78EDB9E7" w14:textId="77777777" w:rsidTr="00356493">
        <w:trPr>
          <w:trHeight w:val="1530"/>
        </w:trPr>
        <w:tc>
          <w:tcPr>
            <w:tcW w:w="1456" w:type="dxa"/>
            <w:shd w:val="clear" w:color="auto" w:fill="auto"/>
            <w:vAlign w:val="center"/>
            <w:hideMark/>
          </w:tcPr>
          <w:p w14:paraId="170F0E1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165-2020</w:t>
            </w:r>
          </w:p>
        </w:tc>
        <w:tc>
          <w:tcPr>
            <w:tcW w:w="8175" w:type="dxa"/>
            <w:shd w:val="clear" w:color="auto" w:fill="auto"/>
            <w:hideMark/>
          </w:tcPr>
          <w:p w14:paraId="379C0EB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7160-2020 del Consejo Superior, mediante el cual comunican lo acordado en sesión 70-2020 del 9 de julio del 2020, artículo LXXII, en relación con la gestión que presenta la licenciada Leidy Marcela González Acuña, Jueza Coordinadora del Juzgado Penal de La Fortuna, se solicita "Trasladar la gestión a la Comisión de la Jurisdicción Penal para que en conjunto con la Dirección de Planificación para su análisis y recomienden a este Consejo lo que corresponda". </w:t>
            </w:r>
          </w:p>
        </w:tc>
      </w:tr>
      <w:tr w:rsidR="00356493" w:rsidRPr="00266BAD" w14:paraId="29DC4654" w14:textId="77777777" w:rsidTr="00356493">
        <w:trPr>
          <w:trHeight w:val="1800"/>
        </w:trPr>
        <w:tc>
          <w:tcPr>
            <w:tcW w:w="1456" w:type="dxa"/>
            <w:shd w:val="clear" w:color="auto" w:fill="auto"/>
            <w:vAlign w:val="center"/>
            <w:hideMark/>
          </w:tcPr>
          <w:p w14:paraId="5301C5E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166-2020</w:t>
            </w:r>
          </w:p>
        </w:tc>
        <w:tc>
          <w:tcPr>
            <w:tcW w:w="8175" w:type="dxa"/>
            <w:shd w:val="clear" w:color="auto" w:fill="auto"/>
            <w:hideMark/>
          </w:tcPr>
          <w:p w14:paraId="061334C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Danilo Segura Mata de fecha 3 de agosto 2020, mediante el cual comparte la gestión hecha por el Juzgado Penal Juvenil del Primer Circuito Judicial de San José, para la atención de usuarios, y solicita a la Comisión, apoyar e impulsar la gestión. </w:t>
            </w:r>
          </w:p>
        </w:tc>
      </w:tr>
      <w:tr w:rsidR="00356493" w:rsidRPr="00266BAD" w14:paraId="2B7C048B" w14:textId="77777777" w:rsidTr="00356493">
        <w:trPr>
          <w:trHeight w:val="1200"/>
        </w:trPr>
        <w:tc>
          <w:tcPr>
            <w:tcW w:w="1456" w:type="dxa"/>
            <w:shd w:val="clear" w:color="auto" w:fill="auto"/>
            <w:vAlign w:val="center"/>
            <w:hideMark/>
          </w:tcPr>
          <w:p w14:paraId="0282D96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167-2020</w:t>
            </w:r>
          </w:p>
        </w:tc>
        <w:tc>
          <w:tcPr>
            <w:tcW w:w="8175" w:type="dxa"/>
            <w:shd w:val="clear" w:color="auto" w:fill="auto"/>
            <w:hideMark/>
          </w:tcPr>
          <w:p w14:paraId="70DB634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7108-2020 del Consejo Superior, mediante el cual se comunica el acuerdo de sesión 73-2020 del 21 de julio del 2020, artículo LV, donde se conoció las medidas adoptadas por el Juzgado Contravencional de Golfito, en el mar</w:t>
            </w:r>
            <w:r>
              <w:rPr>
                <w:rFonts w:ascii="Cambria" w:eastAsia="Times New Roman" w:hAnsi="Cambria" w:cs="Calibri"/>
                <w:sz w:val="20"/>
                <w:szCs w:val="20"/>
                <w:lang w:eastAsia="es-CR"/>
              </w:rPr>
              <w:t>c</w:t>
            </w:r>
            <w:r w:rsidRPr="00266BAD">
              <w:rPr>
                <w:rFonts w:ascii="Cambria" w:eastAsia="Times New Roman" w:hAnsi="Cambria" w:cs="Calibri"/>
                <w:sz w:val="20"/>
                <w:szCs w:val="20"/>
                <w:lang w:eastAsia="es-CR"/>
              </w:rPr>
              <w:t>o de la declaratoria de emergencia</w:t>
            </w:r>
            <w:r>
              <w:rPr>
                <w:rFonts w:ascii="Cambria" w:eastAsia="Times New Roman" w:hAnsi="Cambria" w:cs="Calibri"/>
                <w:sz w:val="20"/>
                <w:szCs w:val="20"/>
                <w:lang w:eastAsia="es-CR"/>
              </w:rPr>
              <w:t>.</w:t>
            </w:r>
          </w:p>
        </w:tc>
      </w:tr>
      <w:tr w:rsidR="00356493" w:rsidRPr="00266BAD" w14:paraId="1CBC5FDD" w14:textId="77777777" w:rsidTr="00356493">
        <w:trPr>
          <w:trHeight w:val="1530"/>
        </w:trPr>
        <w:tc>
          <w:tcPr>
            <w:tcW w:w="1456" w:type="dxa"/>
            <w:shd w:val="clear" w:color="auto" w:fill="auto"/>
            <w:vAlign w:val="center"/>
            <w:hideMark/>
          </w:tcPr>
          <w:p w14:paraId="4FC714F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168-2020</w:t>
            </w:r>
          </w:p>
        </w:tc>
        <w:tc>
          <w:tcPr>
            <w:tcW w:w="8175" w:type="dxa"/>
            <w:shd w:val="clear" w:color="auto" w:fill="auto"/>
            <w:hideMark/>
          </w:tcPr>
          <w:p w14:paraId="237D65F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señora Mayra Campos de fecha 05-08-2020, en el cual solicita la inclusión del catálogo de delitos al Código Electoral Ley.</w:t>
            </w:r>
          </w:p>
        </w:tc>
      </w:tr>
      <w:tr w:rsidR="00356493" w:rsidRPr="00266BAD" w14:paraId="4B476147" w14:textId="77777777" w:rsidTr="00356493">
        <w:trPr>
          <w:trHeight w:val="1530"/>
        </w:trPr>
        <w:tc>
          <w:tcPr>
            <w:tcW w:w="1456" w:type="dxa"/>
            <w:shd w:val="clear" w:color="auto" w:fill="auto"/>
            <w:vAlign w:val="center"/>
            <w:hideMark/>
          </w:tcPr>
          <w:p w14:paraId="01B6533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169-2020</w:t>
            </w:r>
          </w:p>
        </w:tc>
        <w:tc>
          <w:tcPr>
            <w:tcW w:w="8175" w:type="dxa"/>
            <w:shd w:val="clear" w:color="auto" w:fill="auto"/>
            <w:hideMark/>
          </w:tcPr>
          <w:p w14:paraId="4AA2313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parte de la Magistrada Sandra Eugenia Zúñiga Morales, mediante el cual remite para conocimiento de la Comisión, el proyecto de Ley Proliferación de armas de destrucción masiva y su financiamiento, así como la propuesta del Ministerio Público. </w:t>
            </w:r>
          </w:p>
        </w:tc>
      </w:tr>
      <w:tr w:rsidR="00356493" w:rsidRPr="00266BAD" w14:paraId="46FF20EE" w14:textId="77777777" w:rsidTr="00356493">
        <w:trPr>
          <w:trHeight w:val="1530"/>
        </w:trPr>
        <w:tc>
          <w:tcPr>
            <w:tcW w:w="1456" w:type="dxa"/>
            <w:shd w:val="clear" w:color="auto" w:fill="auto"/>
            <w:vAlign w:val="center"/>
            <w:hideMark/>
          </w:tcPr>
          <w:p w14:paraId="0C6BBE2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170-2020</w:t>
            </w:r>
          </w:p>
        </w:tc>
        <w:tc>
          <w:tcPr>
            <w:tcW w:w="8175" w:type="dxa"/>
            <w:shd w:val="clear" w:color="auto" w:fill="auto"/>
            <w:hideMark/>
          </w:tcPr>
          <w:p w14:paraId="1C6AC47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Consulta de la Magistrada Damaris Vargas, de fecha 06-08-2020, sobre con personas beneficiarias de las Medidas Cautelares 321-12 de la CIDH contra el Estado. </w:t>
            </w:r>
          </w:p>
        </w:tc>
      </w:tr>
      <w:tr w:rsidR="00356493" w:rsidRPr="00266BAD" w14:paraId="4108FD96" w14:textId="77777777" w:rsidTr="00356493">
        <w:trPr>
          <w:trHeight w:val="1800"/>
        </w:trPr>
        <w:tc>
          <w:tcPr>
            <w:tcW w:w="1456" w:type="dxa"/>
            <w:shd w:val="clear" w:color="auto" w:fill="auto"/>
            <w:vAlign w:val="center"/>
            <w:hideMark/>
          </w:tcPr>
          <w:p w14:paraId="449F2A4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171-2020</w:t>
            </w:r>
          </w:p>
        </w:tc>
        <w:tc>
          <w:tcPr>
            <w:tcW w:w="8175" w:type="dxa"/>
            <w:shd w:val="clear" w:color="auto" w:fill="auto"/>
            <w:hideMark/>
          </w:tcPr>
          <w:p w14:paraId="2926654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7382-2020 de Corte Plena, mediante el cual se comunica lo acordado en sesión 41-2020 del 13 de julio del 2020, artículo V, donde se conoció el oficio CJP113-2020 sobre la inclusión de una persona juzgadora en materia contravencional como integrante de la Comisión. </w:t>
            </w:r>
          </w:p>
        </w:tc>
      </w:tr>
      <w:tr w:rsidR="00356493" w:rsidRPr="00266BAD" w14:paraId="1CA404CF" w14:textId="77777777" w:rsidTr="00356493">
        <w:trPr>
          <w:trHeight w:val="1800"/>
        </w:trPr>
        <w:tc>
          <w:tcPr>
            <w:tcW w:w="1456" w:type="dxa"/>
            <w:shd w:val="clear" w:color="auto" w:fill="auto"/>
            <w:vAlign w:val="center"/>
            <w:hideMark/>
          </w:tcPr>
          <w:p w14:paraId="10F5295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172-2020</w:t>
            </w:r>
          </w:p>
        </w:tc>
        <w:tc>
          <w:tcPr>
            <w:tcW w:w="8175" w:type="dxa"/>
            <w:shd w:val="clear" w:color="auto" w:fill="auto"/>
            <w:hideMark/>
          </w:tcPr>
          <w:p w14:paraId="283F3A1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289-CACMFJ-JEF-2020 del Centro de Apoyo Coordinación y Mejoramiento de la Función Jurisdiccional, mediante el cual nos remiten el oficio 66-CACMFJ-ACM-2020, del mismo Centro, mediante el cual remiten el informe sobre las labores desempeñadas por los despachos jurisdiccionales en el mar</w:t>
            </w:r>
            <w:r>
              <w:rPr>
                <w:rFonts w:ascii="Cambria" w:eastAsia="Times New Roman" w:hAnsi="Cambria" w:cs="Calibri"/>
                <w:sz w:val="20"/>
                <w:szCs w:val="20"/>
                <w:lang w:eastAsia="es-CR"/>
              </w:rPr>
              <w:t>c</w:t>
            </w:r>
            <w:r w:rsidRPr="00266BAD">
              <w:rPr>
                <w:rFonts w:ascii="Cambria" w:eastAsia="Times New Roman" w:hAnsi="Cambria" w:cs="Calibri"/>
                <w:sz w:val="20"/>
                <w:szCs w:val="20"/>
                <w:lang w:eastAsia="es-CR"/>
              </w:rPr>
              <w:t xml:space="preserve">o de la pandemia, en seguimiento de la gestión que realiza la materia contravencional. </w:t>
            </w:r>
          </w:p>
        </w:tc>
      </w:tr>
      <w:tr w:rsidR="00356493" w:rsidRPr="00266BAD" w14:paraId="6B8E60AD" w14:textId="77777777" w:rsidTr="00356493">
        <w:trPr>
          <w:trHeight w:val="1800"/>
        </w:trPr>
        <w:tc>
          <w:tcPr>
            <w:tcW w:w="1456" w:type="dxa"/>
            <w:shd w:val="clear" w:color="auto" w:fill="auto"/>
            <w:vAlign w:val="center"/>
            <w:hideMark/>
          </w:tcPr>
          <w:p w14:paraId="5B59301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173-2020</w:t>
            </w:r>
          </w:p>
        </w:tc>
        <w:tc>
          <w:tcPr>
            <w:tcW w:w="8175" w:type="dxa"/>
            <w:shd w:val="clear" w:color="auto" w:fill="auto"/>
            <w:hideMark/>
          </w:tcPr>
          <w:p w14:paraId="0797F49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695-ODCV-20, de la Oficina de Defensa Civil de las Víctimas I CJ San José, mediante el cual remite solicitud de aclaración en cuanto al acto conclusivo- requerimiento fiscal según artículo 114 del C.P.P.</w:t>
            </w:r>
            <w:r>
              <w:rPr>
                <w:rFonts w:ascii="Cambria" w:eastAsia="Times New Roman" w:hAnsi="Cambria" w:cs="Calibri"/>
                <w:sz w:val="20"/>
                <w:szCs w:val="20"/>
                <w:lang w:eastAsia="es-CR"/>
              </w:rPr>
              <w:t>.</w:t>
            </w:r>
          </w:p>
        </w:tc>
      </w:tr>
      <w:tr w:rsidR="00356493" w:rsidRPr="00266BAD" w14:paraId="38B5229A" w14:textId="77777777" w:rsidTr="00356493">
        <w:trPr>
          <w:trHeight w:val="1530"/>
        </w:trPr>
        <w:tc>
          <w:tcPr>
            <w:tcW w:w="1456" w:type="dxa"/>
            <w:shd w:val="clear" w:color="auto" w:fill="auto"/>
            <w:vAlign w:val="center"/>
            <w:hideMark/>
          </w:tcPr>
          <w:p w14:paraId="501FAC4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174-2020</w:t>
            </w:r>
          </w:p>
        </w:tc>
        <w:tc>
          <w:tcPr>
            <w:tcW w:w="8175" w:type="dxa"/>
            <w:shd w:val="clear" w:color="auto" w:fill="auto"/>
            <w:hideMark/>
          </w:tcPr>
          <w:p w14:paraId="6A22160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del señor Michael Steve Morales Molina, Juez Coordinador del Juzgado Penal de Grecia, mediante el cual remite un listado de los problemas presentados al momento de realizar las audiencias judiciales con el Ministerio de Justicia.</w:t>
            </w:r>
          </w:p>
        </w:tc>
      </w:tr>
      <w:tr w:rsidR="00356493" w:rsidRPr="00266BAD" w14:paraId="07E9CEAB" w14:textId="77777777" w:rsidTr="00356493">
        <w:trPr>
          <w:trHeight w:val="1530"/>
        </w:trPr>
        <w:tc>
          <w:tcPr>
            <w:tcW w:w="1456" w:type="dxa"/>
            <w:shd w:val="clear" w:color="auto" w:fill="auto"/>
            <w:vAlign w:val="center"/>
            <w:hideMark/>
          </w:tcPr>
          <w:p w14:paraId="17FD500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175-2020</w:t>
            </w:r>
          </w:p>
        </w:tc>
        <w:tc>
          <w:tcPr>
            <w:tcW w:w="8175" w:type="dxa"/>
            <w:shd w:val="clear" w:color="auto" w:fill="auto"/>
            <w:hideMark/>
          </w:tcPr>
          <w:p w14:paraId="6BF3ED7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fecha 13-08-2020 de la señora </w:t>
            </w:r>
            <w:proofErr w:type="spellStart"/>
            <w:r w:rsidRPr="00266BAD">
              <w:rPr>
                <w:rFonts w:ascii="Cambria" w:eastAsia="Times New Roman" w:hAnsi="Cambria" w:cs="Calibri"/>
                <w:sz w:val="20"/>
                <w:szCs w:val="20"/>
                <w:lang w:eastAsia="es-CR"/>
              </w:rPr>
              <w:t>Jeannethe</w:t>
            </w:r>
            <w:proofErr w:type="spellEnd"/>
            <w:r w:rsidRPr="00266BAD">
              <w:rPr>
                <w:rFonts w:ascii="Cambria" w:eastAsia="Times New Roman" w:hAnsi="Cambria" w:cs="Calibri"/>
                <w:sz w:val="20"/>
                <w:szCs w:val="20"/>
                <w:lang w:eastAsia="es-CR"/>
              </w:rPr>
              <w:t xml:space="preserve"> Mena Rodríguez Jueza del Tribunal de Guápiles, comunicando problema con la saturación de Celdas del OIJ, por motivo del Covid-19.</w:t>
            </w:r>
          </w:p>
        </w:tc>
      </w:tr>
      <w:tr w:rsidR="00356493" w:rsidRPr="00266BAD" w14:paraId="71642FAF" w14:textId="77777777" w:rsidTr="00356493">
        <w:trPr>
          <w:trHeight w:val="1275"/>
        </w:trPr>
        <w:tc>
          <w:tcPr>
            <w:tcW w:w="1456" w:type="dxa"/>
            <w:shd w:val="clear" w:color="auto" w:fill="auto"/>
            <w:vAlign w:val="center"/>
            <w:hideMark/>
          </w:tcPr>
          <w:p w14:paraId="2FAA20E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176-2020</w:t>
            </w:r>
          </w:p>
        </w:tc>
        <w:tc>
          <w:tcPr>
            <w:tcW w:w="8175" w:type="dxa"/>
            <w:shd w:val="clear" w:color="auto" w:fill="auto"/>
            <w:hideMark/>
          </w:tcPr>
          <w:p w14:paraId="2CBD334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7436-2020 del Consejo Superior, comunicando el acuerdo de sesión 72-2020 del 16 de julio del 2020, artículo XLIX, sobre el informe 521-PLA-MI-2020 de la Dirección de Planificación, sobre ampliar el informe relacionado con los resultados de la encuesta de opinión sobre el acceso a la justicia que tiene la población penal juvenil en Upala. </w:t>
            </w:r>
          </w:p>
        </w:tc>
      </w:tr>
      <w:tr w:rsidR="00356493" w:rsidRPr="00266BAD" w14:paraId="45188281" w14:textId="77777777" w:rsidTr="00356493">
        <w:trPr>
          <w:trHeight w:val="1020"/>
        </w:trPr>
        <w:tc>
          <w:tcPr>
            <w:tcW w:w="1456" w:type="dxa"/>
            <w:shd w:val="clear" w:color="auto" w:fill="auto"/>
            <w:vAlign w:val="center"/>
            <w:hideMark/>
          </w:tcPr>
          <w:p w14:paraId="2B863C1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177-2020</w:t>
            </w:r>
          </w:p>
        </w:tc>
        <w:tc>
          <w:tcPr>
            <w:tcW w:w="8175" w:type="dxa"/>
            <w:shd w:val="clear" w:color="auto" w:fill="auto"/>
            <w:hideMark/>
          </w:tcPr>
          <w:p w14:paraId="57BB3CC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7421-2020 del Consejo Superior acuerdo de sesión 74-2020 del 23 de julio de 2020, artículo XXI, mediante el cual se conoció el oficio N° DP-352-2020 de 13 de julio de 2020, remitió la gestión presentada por la licenciada Maricruz Chacón Cubillo, Directora del Centro de Apoyo, Coordinación y Mejoramiento</w:t>
            </w:r>
            <w:r>
              <w:rPr>
                <w:rFonts w:ascii="Cambria" w:eastAsia="Times New Roman" w:hAnsi="Cambria" w:cs="Calibri"/>
                <w:sz w:val="20"/>
                <w:szCs w:val="20"/>
                <w:lang w:eastAsia="es-CR"/>
              </w:rPr>
              <w:t>.</w:t>
            </w:r>
          </w:p>
        </w:tc>
      </w:tr>
      <w:tr w:rsidR="00356493" w:rsidRPr="00266BAD" w14:paraId="6E40E519" w14:textId="77777777" w:rsidTr="00356493">
        <w:trPr>
          <w:trHeight w:val="2400"/>
        </w:trPr>
        <w:tc>
          <w:tcPr>
            <w:tcW w:w="1456" w:type="dxa"/>
            <w:shd w:val="clear" w:color="auto" w:fill="auto"/>
            <w:vAlign w:val="center"/>
            <w:hideMark/>
          </w:tcPr>
          <w:p w14:paraId="5853564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178-2020</w:t>
            </w:r>
          </w:p>
        </w:tc>
        <w:tc>
          <w:tcPr>
            <w:tcW w:w="8175" w:type="dxa"/>
            <w:shd w:val="clear" w:color="auto" w:fill="auto"/>
            <w:hideMark/>
          </w:tcPr>
          <w:p w14:paraId="102172E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1219-PLA-ES-2020, de la Dirección de Planificación, mediante el cual remiten el informe relacionado con los movimientos de trabajo en los Tribunales de Apelación de Sentencia durante el 2019 y el último quinquenio</w:t>
            </w:r>
            <w:r>
              <w:rPr>
                <w:rFonts w:ascii="Cambria" w:eastAsia="Times New Roman" w:hAnsi="Cambria" w:cs="Calibri"/>
                <w:sz w:val="20"/>
                <w:szCs w:val="20"/>
                <w:lang w:eastAsia="es-CR"/>
              </w:rPr>
              <w:t>.</w:t>
            </w:r>
          </w:p>
        </w:tc>
      </w:tr>
      <w:tr w:rsidR="00356493" w:rsidRPr="00266BAD" w14:paraId="2F918867" w14:textId="77777777" w:rsidTr="00356493">
        <w:trPr>
          <w:trHeight w:val="765"/>
        </w:trPr>
        <w:tc>
          <w:tcPr>
            <w:tcW w:w="1456" w:type="dxa"/>
            <w:shd w:val="clear" w:color="auto" w:fill="auto"/>
            <w:vAlign w:val="center"/>
            <w:hideMark/>
          </w:tcPr>
          <w:p w14:paraId="4AA1D53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185-2020</w:t>
            </w:r>
          </w:p>
        </w:tc>
        <w:tc>
          <w:tcPr>
            <w:tcW w:w="8175" w:type="dxa"/>
            <w:shd w:val="clear" w:color="auto" w:fill="auto"/>
            <w:hideMark/>
          </w:tcPr>
          <w:p w14:paraId="3D7E410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7383-2020 del Corte Plena, conoció en sesión 41-2020 del 13-07-2020 artículo V, designar a un juez contravencional en la Comisión, respuesta a la señora María Solano Gamboa</w:t>
            </w:r>
            <w:r>
              <w:rPr>
                <w:rFonts w:ascii="Cambria" w:eastAsia="Times New Roman" w:hAnsi="Cambria" w:cs="Calibri"/>
                <w:sz w:val="20"/>
                <w:szCs w:val="20"/>
                <w:lang w:eastAsia="es-CR"/>
              </w:rPr>
              <w:t>.</w:t>
            </w:r>
          </w:p>
        </w:tc>
      </w:tr>
      <w:tr w:rsidR="00356493" w:rsidRPr="00266BAD" w14:paraId="31685A1A" w14:textId="77777777" w:rsidTr="00356493">
        <w:trPr>
          <w:trHeight w:val="2805"/>
        </w:trPr>
        <w:tc>
          <w:tcPr>
            <w:tcW w:w="1456" w:type="dxa"/>
            <w:shd w:val="clear" w:color="auto" w:fill="auto"/>
            <w:vAlign w:val="center"/>
            <w:hideMark/>
          </w:tcPr>
          <w:p w14:paraId="7D2AAF9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187-2020</w:t>
            </w:r>
          </w:p>
        </w:tc>
        <w:tc>
          <w:tcPr>
            <w:tcW w:w="8175" w:type="dxa"/>
            <w:shd w:val="clear" w:color="auto" w:fill="auto"/>
            <w:hideMark/>
          </w:tcPr>
          <w:p w14:paraId="699FC57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señora Mauren Sancho González, mediante el cual remite respuesta del Ministerio de Justicia, en el cual deniegan la solicitud de ubicar a tres detenidos en un mismo centro para la realización de Juicio. Por motivo del Covid-19. </w:t>
            </w:r>
          </w:p>
        </w:tc>
      </w:tr>
      <w:tr w:rsidR="00356493" w:rsidRPr="00266BAD" w14:paraId="1C20C72B" w14:textId="77777777" w:rsidTr="00356493">
        <w:trPr>
          <w:trHeight w:val="1530"/>
        </w:trPr>
        <w:tc>
          <w:tcPr>
            <w:tcW w:w="1456" w:type="dxa"/>
            <w:shd w:val="clear" w:color="auto" w:fill="auto"/>
            <w:vAlign w:val="center"/>
            <w:hideMark/>
          </w:tcPr>
          <w:p w14:paraId="0B555D6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188-2020</w:t>
            </w:r>
          </w:p>
        </w:tc>
        <w:tc>
          <w:tcPr>
            <w:tcW w:w="8175" w:type="dxa"/>
            <w:shd w:val="clear" w:color="auto" w:fill="auto"/>
            <w:hideMark/>
          </w:tcPr>
          <w:p w14:paraId="64EE117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Gestoría en Materia Penal, al respecto de la gestión del suscrito Pedro Méndez Aguilar, juez coordinador del Tribunal Penal de Pavas, en el cual indica la situación que rige el despacho ante la constante suspensión de juicios.</w:t>
            </w:r>
          </w:p>
        </w:tc>
      </w:tr>
      <w:tr w:rsidR="00356493" w:rsidRPr="00266BAD" w14:paraId="316A2F62" w14:textId="77777777" w:rsidTr="00356493">
        <w:trPr>
          <w:trHeight w:val="1530"/>
        </w:trPr>
        <w:tc>
          <w:tcPr>
            <w:tcW w:w="1456" w:type="dxa"/>
            <w:shd w:val="clear" w:color="auto" w:fill="auto"/>
            <w:vAlign w:val="center"/>
            <w:hideMark/>
          </w:tcPr>
          <w:p w14:paraId="3085744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189-2020</w:t>
            </w:r>
          </w:p>
        </w:tc>
        <w:tc>
          <w:tcPr>
            <w:tcW w:w="8175" w:type="dxa"/>
            <w:shd w:val="clear" w:color="auto" w:fill="auto"/>
            <w:hideMark/>
          </w:tcPr>
          <w:p w14:paraId="0ACB398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Luis Albino Rodríguez Cruz, Juez Coordinador del Tribunal Penal de Limón, en el cual traslada la inquietud por el nombramiento de un juez tramitador, para la realización de juicios unipersonales, en la zona de Talamanca, y el riesgo de prescripción. </w:t>
            </w:r>
          </w:p>
        </w:tc>
      </w:tr>
      <w:tr w:rsidR="00356493" w:rsidRPr="00266BAD" w14:paraId="2793BAE9" w14:textId="77777777" w:rsidTr="00356493">
        <w:trPr>
          <w:trHeight w:val="1530"/>
        </w:trPr>
        <w:tc>
          <w:tcPr>
            <w:tcW w:w="1456" w:type="dxa"/>
            <w:shd w:val="clear" w:color="auto" w:fill="auto"/>
            <w:vAlign w:val="center"/>
            <w:hideMark/>
          </w:tcPr>
          <w:p w14:paraId="51A87F7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190-2020</w:t>
            </w:r>
          </w:p>
        </w:tc>
        <w:tc>
          <w:tcPr>
            <w:tcW w:w="8175" w:type="dxa"/>
            <w:shd w:val="clear" w:color="auto" w:fill="auto"/>
            <w:hideMark/>
          </w:tcPr>
          <w:p w14:paraId="482DFEC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 la señora </w:t>
            </w:r>
            <w:proofErr w:type="spellStart"/>
            <w:r w:rsidRPr="00266BAD">
              <w:rPr>
                <w:rFonts w:ascii="Cambria" w:eastAsia="Times New Roman" w:hAnsi="Cambria" w:cs="Calibri"/>
                <w:sz w:val="20"/>
                <w:szCs w:val="20"/>
                <w:lang w:eastAsia="es-CR"/>
              </w:rPr>
              <w:t>Jazmin</w:t>
            </w:r>
            <w:proofErr w:type="spellEnd"/>
            <w:r w:rsidRPr="00266BAD">
              <w:rPr>
                <w:rFonts w:ascii="Cambria" w:eastAsia="Times New Roman" w:hAnsi="Cambria" w:cs="Calibri"/>
                <w:sz w:val="20"/>
                <w:szCs w:val="20"/>
                <w:lang w:eastAsia="es-CR"/>
              </w:rPr>
              <w:t xml:space="preserve"> Castillo Cubero Jueza Contravencional de Cartago, de fecha 25-08-2020, solicitando el criterio de la Comisión sobre la definición de competencia funcional</w:t>
            </w:r>
            <w:r>
              <w:rPr>
                <w:rFonts w:ascii="Cambria" w:eastAsia="Times New Roman" w:hAnsi="Cambria" w:cs="Calibri"/>
                <w:sz w:val="20"/>
                <w:szCs w:val="20"/>
                <w:lang w:eastAsia="es-CR"/>
              </w:rPr>
              <w:t>.</w:t>
            </w:r>
          </w:p>
        </w:tc>
      </w:tr>
      <w:tr w:rsidR="00356493" w:rsidRPr="00266BAD" w14:paraId="5C8EA0D3" w14:textId="77777777" w:rsidTr="00356493">
        <w:trPr>
          <w:trHeight w:val="1530"/>
        </w:trPr>
        <w:tc>
          <w:tcPr>
            <w:tcW w:w="1456" w:type="dxa"/>
            <w:shd w:val="clear" w:color="auto" w:fill="auto"/>
            <w:vAlign w:val="center"/>
            <w:hideMark/>
          </w:tcPr>
          <w:p w14:paraId="6976535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191-2020</w:t>
            </w:r>
          </w:p>
        </w:tc>
        <w:tc>
          <w:tcPr>
            <w:tcW w:w="8175" w:type="dxa"/>
            <w:shd w:val="clear" w:color="auto" w:fill="auto"/>
            <w:hideMark/>
          </w:tcPr>
          <w:p w14:paraId="7B67EA2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1303-PLA-2020 de la Dirección de Planificación, sobre circular 52-2020 emitida por la Corte Plena y las limitaciones presupuestarias, así como la cantidad de recurso ordinario que disponen que les limita la realización de los juicios colegiados, y que en el caso particular de los Tribunales de Apelación de la Sentencia Penal de San Ramón y Santa Cruz. </w:t>
            </w:r>
          </w:p>
        </w:tc>
      </w:tr>
      <w:tr w:rsidR="00356493" w:rsidRPr="00266BAD" w14:paraId="3934859F" w14:textId="77777777" w:rsidTr="00356493">
        <w:trPr>
          <w:trHeight w:val="1530"/>
        </w:trPr>
        <w:tc>
          <w:tcPr>
            <w:tcW w:w="1456" w:type="dxa"/>
            <w:shd w:val="clear" w:color="auto" w:fill="auto"/>
            <w:vAlign w:val="center"/>
            <w:hideMark/>
          </w:tcPr>
          <w:p w14:paraId="66BCA39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192-2020</w:t>
            </w:r>
          </w:p>
        </w:tc>
        <w:tc>
          <w:tcPr>
            <w:tcW w:w="8175" w:type="dxa"/>
            <w:shd w:val="clear" w:color="auto" w:fill="auto"/>
            <w:hideMark/>
          </w:tcPr>
          <w:p w14:paraId="6DDC584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Correo de la Mag. Damaris Vargas Vásquez, sobre distorsiones sobre el abordaje del tema relacionado con "recuperación de tierras por parte de las personas indígenas"</w:t>
            </w:r>
            <w:r>
              <w:rPr>
                <w:rFonts w:ascii="Cambria" w:eastAsia="Times New Roman" w:hAnsi="Cambria" w:cs="Calibri"/>
                <w:sz w:val="20"/>
                <w:szCs w:val="20"/>
                <w:lang w:eastAsia="es-CR"/>
              </w:rPr>
              <w:t>.</w:t>
            </w:r>
          </w:p>
        </w:tc>
      </w:tr>
      <w:tr w:rsidR="00356493" w:rsidRPr="00266BAD" w14:paraId="66FAC1B2" w14:textId="77777777" w:rsidTr="00356493">
        <w:trPr>
          <w:trHeight w:val="2295"/>
        </w:trPr>
        <w:tc>
          <w:tcPr>
            <w:tcW w:w="1456" w:type="dxa"/>
            <w:shd w:val="clear" w:color="auto" w:fill="auto"/>
            <w:vAlign w:val="center"/>
            <w:hideMark/>
          </w:tcPr>
          <w:p w14:paraId="2EF7042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193-2020</w:t>
            </w:r>
          </w:p>
        </w:tc>
        <w:tc>
          <w:tcPr>
            <w:tcW w:w="8175" w:type="dxa"/>
            <w:shd w:val="clear" w:color="auto" w:fill="auto"/>
            <w:hideMark/>
          </w:tcPr>
          <w:p w14:paraId="5566E20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7980-2020 del Consejo Superior, mediante el cual comunica el acuerdo de sesión 78-2020 de 6 de agosto del 2020, artículo XXXVII, sobre la eliminación masiva de expedientes en el archivo Judicial, para que un integrante de la Comisión integre una comisión especial para abordar la problemática. </w:t>
            </w:r>
          </w:p>
        </w:tc>
      </w:tr>
      <w:tr w:rsidR="00356493" w:rsidRPr="00266BAD" w14:paraId="4F3A18A7" w14:textId="77777777" w:rsidTr="00356493">
        <w:trPr>
          <w:trHeight w:val="1530"/>
        </w:trPr>
        <w:tc>
          <w:tcPr>
            <w:tcW w:w="1456" w:type="dxa"/>
            <w:shd w:val="clear" w:color="auto" w:fill="auto"/>
            <w:vAlign w:val="center"/>
            <w:hideMark/>
          </w:tcPr>
          <w:p w14:paraId="3CE5B39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194-2020</w:t>
            </w:r>
          </w:p>
        </w:tc>
        <w:tc>
          <w:tcPr>
            <w:tcW w:w="8175" w:type="dxa"/>
            <w:shd w:val="clear" w:color="auto" w:fill="auto"/>
            <w:hideMark/>
          </w:tcPr>
          <w:p w14:paraId="532861B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1337-PLA-PE-2020, de la Dirección de Planificación, relacionado con el plan de acción para la continuidad de los servicios judiciales como respuesta al impacto de la emergencia nacional COVID-19. </w:t>
            </w:r>
          </w:p>
        </w:tc>
      </w:tr>
      <w:tr w:rsidR="00356493" w:rsidRPr="00266BAD" w14:paraId="12974052" w14:textId="77777777" w:rsidTr="00356493">
        <w:trPr>
          <w:trHeight w:val="1200"/>
        </w:trPr>
        <w:tc>
          <w:tcPr>
            <w:tcW w:w="1456" w:type="dxa"/>
            <w:shd w:val="clear" w:color="auto" w:fill="auto"/>
            <w:vAlign w:val="center"/>
            <w:hideMark/>
          </w:tcPr>
          <w:p w14:paraId="02D090B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195-2020</w:t>
            </w:r>
          </w:p>
        </w:tc>
        <w:tc>
          <w:tcPr>
            <w:tcW w:w="8175" w:type="dxa"/>
            <w:shd w:val="clear" w:color="auto" w:fill="auto"/>
            <w:hideMark/>
          </w:tcPr>
          <w:p w14:paraId="164C925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1351-PLA-OI-2020, de la Dirección de Planificación, relacionado con la revisión de las cuotas establecidas a los Tribunales de Apelación de Sentencia Penal</w:t>
            </w:r>
            <w:r>
              <w:rPr>
                <w:rFonts w:ascii="Cambria" w:eastAsia="Times New Roman" w:hAnsi="Cambria" w:cs="Calibri"/>
                <w:sz w:val="20"/>
                <w:szCs w:val="20"/>
                <w:lang w:eastAsia="es-CR"/>
              </w:rPr>
              <w:t>.</w:t>
            </w:r>
          </w:p>
        </w:tc>
      </w:tr>
      <w:tr w:rsidR="00356493" w:rsidRPr="00266BAD" w14:paraId="27BA6B86" w14:textId="77777777" w:rsidTr="00356493">
        <w:trPr>
          <w:trHeight w:val="1530"/>
        </w:trPr>
        <w:tc>
          <w:tcPr>
            <w:tcW w:w="1456" w:type="dxa"/>
            <w:shd w:val="clear" w:color="auto" w:fill="auto"/>
            <w:vAlign w:val="center"/>
            <w:hideMark/>
          </w:tcPr>
          <w:p w14:paraId="4F8B480E"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196-2020</w:t>
            </w:r>
          </w:p>
        </w:tc>
        <w:tc>
          <w:tcPr>
            <w:tcW w:w="8175" w:type="dxa"/>
            <w:shd w:val="clear" w:color="auto" w:fill="auto"/>
            <w:hideMark/>
          </w:tcPr>
          <w:p w14:paraId="2D5818C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671-SG/OIJ-2020 de la Dirección del OIJ, mediante el cual comunican problemática con el Ministerio de Justicia, por la no recepción de personas detenidas. </w:t>
            </w:r>
          </w:p>
        </w:tc>
      </w:tr>
      <w:tr w:rsidR="00356493" w:rsidRPr="00266BAD" w14:paraId="63FF3F7C" w14:textId="77777777" w:rsidTr="00356493">
        <w:trPr>
          <w:trHeight w:val="1200"/>
        </w:trPr>
        <w:tc>
          <w:tcPr>
            <w:tcW w:w="1456" w:type="dxa"/>
            <w:shd w:val="clear" w:color="auto" w:fill="auto"/>
            <w:vAlign w:val="center"/>
            <w:hideMark/>
          </w:tcPr>
          <w:p w14:paraId="35BBAB2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197-2020</w:t>
            </w:r>
          </w:p>
        </w:tc>
        <w:tc>
          <w:tcPr>
            <w:tcW w:w="8175" w:type="dxa"/>
            <w:shd w:val="clear" w:color="auto" w:fill="auto"/>
            <w:hideMark/>
          </w:tcPr>
          <w:p w14:paraId="7BA0D45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8179-2020 del Consejo Superior, mediante el cual se comunica acuerdo de sesión 80-2020 del 14 de agosto de 2020, artículo XLVII, en relación al oficio CJP165-2020 sobre los asuntos de vieja data</w:t>
            </w:r>
            <w:r>
              <w:rPr>
                <w:rFonts w:ascii="Cambria" w:eastAsia="Times New Roman" w:hAnsi="Cambria" w:cs="Calibri"/>
                <w:sz w:val="20"/>
                <w:szCs w:val="20"/>
                <w:lang w:eastAsia="es-CR"/>
              </w:rPr>
              <w:t>.</w:t>
            </w:r>
          </w:p>
        </w:tc>
      </w:tr>
      <w:tr w:rsidR="00356493" w:rsidRPr="00266BAD" w14:paraId="09BFC2DD" w14:textId="77777777" w:rsidTr="00356493">
        <w:trPr>
          <w:trHeight w:val="2400"/>
        </w:trPr>
        <w:tc>
          <w:tcPr>
            <w:tcW w:w="1456" w:type="dxa"/>
            <w:shd w:val="clear" w:color="auto" w:fill="auto"/>
            <w:vAlign w:val="center"/>
            <w:hideMark/>
          </w:tcPr>
          <w:p w14:paraId="52335A4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198-2020</w:t>
            </w:r>
          </w:p>
        </w:tc>
        <w:tc>
          <w:tcPr>
            <w:tcW w:w="8175" w:type="dxa"/>
            <w:shd w:val="clear" w:color="auto" w:fill="auto"/>
            <w:hideMark/>
          </w:tcPr>
          <w:p w14:paraId="171B34A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1370-PLA-OI-2020, de la Dirección de Planificación, mediante el cual se remite la respuesta a la consulta de la realización de un informe que logre determinar la forma en la que debe funcionar las distintas secciones de flagrancia</w:t>
            </w:r>
            <w:r>
              <w:rPr>
                <w:rFonts w:ascii="Cambria" w:eastAsia="Times New Roman" w:hAnsi="Cambria" w:cs="Calibri"/>
                <w:sz w:val="20"/>
                <w:szCs w:val="20"/>
                <w:lang w:eastAsia="es-CR"/>
              </w:rPr>
              <w:t>.</w:t>
            </w:r>
          </w:p>
        </w:tc>
      </w:tr>
      <w:tr w:rsidR="00356493" w:rsidRPr="00266BAD" w14:paraId="1F08BDAE" w14:textId="77777777" w:rsidTr="00356493">
        <w:trPr>
          <w:trHeight w:val="1800"/>
        </w:trPr>
        <w:tc>
          <w:tcPr>
            <w:tcW w:w="1456" w:type="dxa"/>
            <w:shd w:val="clear" w:color="auto" w:fill="auto"/>
            <w:vAlign w:val="center"/>
            <w:hideMark/>
          </w:tcPr>
          <w:p w14:paraId="1CA343B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199-2020</w:t>
            </w:r>
          </w:p>
        </w:tc>
        <w:tc>
          <w:tcPr>
            <w:tcW w:w="8175" w:type="dxa"/>
            <w:shd w:val="clear" w:color="auto" w:fill="auto"/>
            <w:hideMark/>
          </w:tcPr>
          <w:p w14:paraId="3E6AB75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1385-PLA-2020 / 331-CACMFJ-JEF-2020 de la Dirección de Planificación, mediante el cual remite copia del oficio a Corte Plena, respecto del seguimiento de las materias y los resultados del mes de junio, julio y un análisis comparativo, de los servicios durante la emergencia. </w:t>
            </w:r>
          </w:p>
        </w:tc>
      </w:tr>
      <w:tr w:rsidR="00356493" w:rsidRPr="00266BAD" w14:paraId="0AF8558C" w14:textId="77777777" w:rsidTr="00356493">
        <w:trPr>
          <w:trHeight w:val="1500"/>
        </w:trPr>
        <w:tc>
          <w:tcPr>
            <w:tcW w:w="1456" w:type="dxa"/>
            <w:shd w:val="clear" w:color="auto" w:fill="auto"/>
            <w:vAlign w:val="center"/>
            <w:hideMark/>
          </w:tcPr>
          <w:p w14:paraId="2D6188B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200-2020</w:t>
            </w:r>
          </w:p>
        </w:tc>
        <w:tc>
          <w:tcPr>
            <w:tcW w:w="8175" w:type="dxa"/>
            <w:shd w:val="clear" w:color="auto" w:fill="auto"/>
            <w:hideMark/>
          </w:tcPr>
          <w:p w14:paraId="11C6996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8146-2020 del Consejo Superior, mediante el cual remiten el acuerdo de sesión 79-2020 del 11 de agosto de 2020, artículo XXXVIII, donde se conoció el informe 1108-PLA-OI-2020. Se dispuso, solicitar criterio a la Comisión que permita el mejor funcionamiento del sistema judicial. </w:t>
            </w:r>
          </w:p>
        </w:tc>
      </w:tr>
      <w:tr w:rsidR="00356493" w:rsidRPr="00266BAD" w14:paraId="7DA0E5C4" w14:textId="77777777" w:rsidTr="00356493">
        <w:trPr>
          <w:trHeight w:val="2100"/>
        </w:trPr>
        <w:tc>
          <w:tcPr>
            <w:tcW w:w="1456" w:type="dxa"/>
            <w:shd w:val="clear" w:color="auto" w:fill="auto"/>
            <w:vAlign w:val="center"/>
            <w:hideMark/>
          </w:tcPr>
          <w:p w14:paraId="73F68DC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201-2020</w:t>
            </w:r>
          </w:p>
        </w:tc>
        <w:tc>
          <w:tcPr>
            <w:tcW w:w="8175" w:type="dxa"/>
            <w:shd w:val="clear" w:color="auto" w:fill="auto"/>
            <w:hideMark/>
          </w:tcPr>
          <w:p w14:paraId="54A94AA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7696-2020 de Corte Plena, mediante el cual comunican acuerdo de sesión 42-2020 del 20 de julio del 2020, artículo XVI, en el cual se solicitar a cada una de las Comisiones existentes en la actualidad, informen a esta Corte sobre su efectiva vigencia, así como de la necesidad de continuar operando en atención al cumplimiento de los fines que orientaron su creación.</w:t>
            </w:r>
          </w:p>
        </w:tc>
      </w:tr>
      <w:tr w:rsidR="00356493" w:rsidRPr="00266BAD" w14:paraId="1F3EA2CB" w14:textId="77777777" w:rsidTr="00356493">
        <w:trPr>
          <w:trHeight w:val="765"/>
        </w:trPr>
        <w:tc>
          <w:tcPr>
            <w:tcW w:w="1456" w:type="dxa"/>
            <w:shd w:val="clear" w:color="auto" w:fill="auto"/>
            <w:vAlign w:val="center"/>
            <w:hideMark/>
          </w:tcPr>
          <w:p w14:paraId="209B83E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202-2020</w:t>
            </w:r>
          </w:p>
        </w:tc>
        <w:tc>
          <w:tcPr>
            <w:tcW w:w="8175" w:type="dxa"/>
            <w:shd w:val="clear" w:color="auto" w:fill="auto"/>
            <w:hideMark/>
          </w:tcPr>
          <w:p w14:paraId="091FAD0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192-FAI-2020 de la Fiscalía de Asuntos Indígenas, en respuesta al oficio CJP180-2020, sobre el cumplimiento de la medida cautelar 321-12 de la CIDH (Consulta 170-2020). </w:t>
            </w:r>
          </w:p>
        </w:tc>
      </w:tr>
      <w:tr w:rsidR="00356493" w:rsidRPr="00266BAD" w14:paraId="1F675FEA" w14:textId="77777777" w:rsidTr="00356493">
        <w:trPr>
          <w:trHeight w:val="1530"/>
        </w:trPr>
        <w:tc>
          <w:tcPr>
            <w:tcW w:w="1456" w:type="dxa"/>
            <w:shd w:val="clear" w:color="auto" w:fill="auto"/>
            <w:vAlign w:val="center"/>
            <w:hideMark/>
          </w:tcPr>
          <w:p w14:paraId="40F7FBC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203-2020</w:t>
            </w:r>
          </w:p>
        </w:tc>
        <w:tc>
          <w:tcPr>
            <w:tcW w:w="8175" w:type="dxa"/>
            <w:shd w:val="clear" w:color="auto" w:fill="auto"/>
            <w:hideMark/>
          </w:tcPr>
          <w:p w14:paraId="04828CF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Edgar Ramírez Villalobos, trasladando la problemática con el Tribunal Penal de Osa, por el señalamiento de varios juicios y la falta de fiscales. </w:t>
            </w:r>
          </w:p>
        </w:tc>
      </w:tr>
      <w:tr w:rsidR="00356493" w:rsidRPr="00266BAD" w14:paraId="19466D99" w14:textId="77777777" w:rsidTr="00356493">
        <w:trPr>
          <w:trHeight w:val="1275"/>
        </w:trPr>
        <w:tc>
          <w:tcPr>
            <w:tcW w:w="1456" w:type="dxa"/>
            <w:shd w:val="clear" w:color="auto" w:fill="auto"/>
            <w:vAlign w:val="center"/>
            <w:hideMark/>
          </w:tcPr>
          <w:p w14:paraId="5BD7489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204-2020</w:t>
            </w:r>
          </w:p>
        </w:tc>
        <w:tc>
          <w:tcPr>
            <w:tcW w:w="8175" w:type="dxa"/>
            <w:shd w:val="clear" w:color="auto" w:fill="auto"/>
            <w:hideMark/>
          </w:tcPr>
          <w:p w14:paraId="6D094FC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8360-2020 del Consejo Superior, comunicando acuerdo de sesión 86-2020 del 3 de setiembre de 2020, artículo XXVIII, en el cual se conoce el oficio CJP169-2020, mediante el cual se comunica a los coordinadores, la no saturación de Celdas. </w:t>
            </w:r>
          </w:p>
        </w:tc>
      </w:tr>
      <w:tr w:rsidR="00356493" w:rsidRPr="00266BAD" w14:paraId="4C6E1E66" w14:textId="77777777" w:rsidTr="00356493">
        <w:trPr>
          <w:trHeight w:val="1020"/>
        </w:trPr>
        <w:tc>
          <w:tcPr>
            <w:tcW w:w="1456" w:type="dxa"/>
            <w:shd w:val="clear" w:color="auto" w:fill="auto"/>
            <w:vAlign w:val="center"/>
            <w:hideMark/>
          </w:tcPr>
          <w:p w14:paraId="3DE7341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205-2020</w:t>
            </w:r>
          </w:p>
        </w:tc>
        <w:tc>
          <w:tcPr>
            <w:tcW w:w="8175" w:type="dxa"/>
            <w:shd w:val="clear" w:color="auto" w:fill="auto"/>
            <w:hideMark/>
          </w:tcPr>
          <w:p w14:paraId="69C52D7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8522-2020 del Consejo Superior, comunicando acuerdo de sesión 83-2020 del 25 de agosto de 2020, artículo XII, comunicando problemática con las disminuciones de espacio en celdas por motivo del distanciamiento sanitario, se hace de conocimiento de la comisión. </w:t>
            </w:r>
          </w:p>
        </w:tc>
      </w:tr>
      <w:tr w:rsidR="00356493" w:rsidRPr="00266BAD" w14:paraId="204CD061" w14:textId="77777777" w:rsidTr="00356493">
        <w:trPr>
          <w:trHeight w:val="1530"/>
        </w:trPr>
        <w:tc>
          <w:tcPr>
            <w:tcW w:w="1456" w:type="dxa"/>
            <w:shd w:val="clear" w:color="auto" w:fill="auto"/>
            <w:vAlign w:val="center"/>
            <w:hideMark/>
          </w:tcPr>
          <w:p w14:paraId="379105A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206-2020</w:t>
            </w:r>
          </w:p>
        </w:tc>
        <w:tc>
          <w:tcPr>
            <w:tcW w:w="8175" w:type="dxa"/>
            <w:shd w:val="clear" w:color="auto" w:fill="auto"/>
            <w:hideMark/>
          </w:tcPr>
          <w:p w14:paraId="5193706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15-09-2020 del señor Andrés Olsen Villegas, con respecto a problemática en las desestimaciones solicitadas por el Ministerio Público de Cartago, y el Tribunal de Flagrancia. </w:t>
            </w:r>
          </w:p>
        </w:tc>
      </w:tr>
      <w:tr w:rsidR="00356493" w:rsidRPr="00266BAD" w14:paraId="58A22008" w14:textId="77777777" w:rsidTr="00356493">
        <w:trPr>
          <w:trHeight w:val="765"/>
        </w:trPr>
        <w:tc>
          <w:tcPr>
            <w:tcW w:w="1456" w:type="dxa"/>
            <w:shd w:val="clear" w:color="auto" w:fill="auto"/>
            <w:vAlign w:val="center"/>
            <w:hideMark/>
          </w:tcPr>
          <w:p w14:paraId="3DE2D75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207-2020</w:t>
            </w:r>
          </w:p>
        </w:tc>
        <w:tc>
          <w:tcPr>
            <w:tcW w:w="8175" w:type="dxa"/>
            <w:shd w:val="clear" w:color="auto" w:fill="auto"/>
            <w:hideMark/>
          </w:tcPr>
          <w:p w14:paraId="426C87C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1433-PLA-OI-2020, de la Dirección de Planificación, con respecto al informe del rediseño del proceso penal del Tribunal Penal de Limón. </w:t>
            </w:r>
          </w:p>
        </w:tc>
      </w:tr>
      <w:tr w:rsidR="00356493" w:rsidRPr="00266BAD" w14:paraId="7AC4FB22" w14:textId="77777777" w:rsidTr="00356493">
        <w:trPr>
          <w:trHeight w:val="765"/>
        </w:trPr>
        <w:tc>
          <w:tcPr>
            <w:tcW w:w="1456" w:type="dxa"/>
            <w:shd w:val="clear" w:color="auto" w:fill="auto"/>
            <w:vAlign w:val="center"/>
            <w:hideMark/>
          </w:tcPr>
          <w:p w14:paraId="5EB3AFF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208-2020</w:t>
            </w:r>
          </w:p>
        </w:tc>
        <w:tc>
          <w:tcPr>
            <w:tcW w:w="8175" w:type="dxa"/>
            <w:shd w:val="clear" w:color="auto" w:fill="auto"/>
            <w:hideMark/>
          </w:tcPr>
          <w:p w14:paraId="2E72878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1434-PLA-OI-2020 de la Dirección de Planificación, con respecto al informe del rediseño del proceso penal del Juzgado Penal de Talamanca. </w:t>
            </w:r>
          </w:p>
        </w:tc>
      </w:tr>
      <w:tr w:rsidR="00356493" w:rsidRPr="00266BAD" w14:paraId="0E9142C1" w14:textId="77777777" w:rsidTr="00356493">
        <w:trPr>
          <w:trHeight w:val="2040"/>
        </w:trPr>
        <w:tc>
          <w:tcPr>
            <w:tcW w:w="1456" w:type="dxa"/>
            <w:shd w:val="clear" w:color="auto" w:fill="auto"/>
            <w:vAlign w:val="center"/>
            <w:hideMark/>
          </w:tcPr>
          <w:p w14:paraId="71E34C0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209-2020</w:t>
            </w:r>
          </w:p>
        </w:tc>
        <w:tc>
          <w:tcPr>
            <w:tcW w:w="8175" w:type="dxa"/>
            <w:shd w:val="clear" w:color="auto" w:fill="auto"/>
            <w:hideMark/>
          </w:tcPr>
          <w:p w14:paraId="37E95C9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8592-2020, del Consejo Superior, mediante el cual remite el acuerdo de sesión 85-2020, del 1 de setiembre de 2020, artículo X, relacionado con Recordar a todos los despachos judiciales del país que tramitan materia penal, la obligación de realizar una adecuada coordinación para que se cumplan de manera estricta las medidas sanitarias en todas las actuaciones que se realicen, tomando en consideración los protocolos y lineamientos emitidos por el Ministerio de Salud, la Corte Plena y este Consejo Superior. </w:t>
            </w:r>
          </w:p>
        </w:tc>
      </w:tr>
      <w:tr w:rsidR="00356493" w:rsidRPr="00266BAD" w14:paraId="67BA517F" w14:textId="77777777" w:rsidTr="00356493">
        <w:trPr>
          <w:trHeight w:val="1530"/>
        </w:trPr>
        <w:tc>
          <w:tcPr>
            <w:tcW w:w="1456" w:type="dxa"/>
            <w:shd w:val="clear" w:color="auto" w:fill="auto"/>
            <w:vAlign w:val="center"/>
            <w:hideMark/>
          </w:tcPr>
          <w:p w14:paraId="75BAA74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210-2020</w:t>
            </w:r>
          </w:p>
        </w:tc>
        <w:tc>
          <w:tcPr>
            <w:tcW w:w="8175" w:type="dxa"/>
            <w:shd w:val="clear" w:color="auto" w:fill="auto"/>
            <w:hideMark/>
          </w:tcPr>
          <w:p w14:paraId="14B10FD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1468-PLA-ES-2020, de la Dirección de Planificación, mediante el cual remite el informe con respecto al oficio 3160-15, relacionado con estadísticas cualitativas y cuantitativas para las variables audiencias y sentencias de tipo tanto orales como escritas en los Juzgados y Tribunales Penales. </w:t>
            </w:r>
          </w:p>
        </w:tc>
      </w:tr>
      <w:tr w:rsidR="00356493" w:rsidRPr="00266BAD" w14:paraId="63EF2DF4" w14:textId="77777777" w:rsidTr="00356493">
        <w:trPr>
          <w:trHeight w:val="1530"/>
        </w:trPr>
        <w:tc>
          <w:tcPr>
            <w:tcW w:w="1456" w:type="dxa"/>
            <w:shd w:val="clear" w:color="auto" w:fill="auto"/>
            <w:vAlign w:val="center"/>
            <w:hideMark/>
          </w:tcPr>
          <w:p w14:paraId="71D5688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211-2020</w:t>
            </w:r>
          </w:p>
        </w:tc>
        <w:tc>
          <w:tcPr>
            <w:tcW w:w="8175" w:type="dxa"/>
            <w:shd w:val="clear" w:color="auto" w:fill="auto"/>
            <w:hideMark/>
          </w:tcPr>
          <w:p w14:paraId="2317D26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Carlos Eduardo Arias Córdoba, de fecha 24 de agosto de 2020, mediante el cual solicita el criterio de la Comisión, sobre el criterio jurídico usado por los jueces, para otorgar a las partes en las audiencias orales el espacio de 10 a 15 minutos para exponer sus alegatos. </w:t>
            </w:r>
          </w:p>
        </w:tc>
      </w:tr>
      <w:tr w:rsidR="00356493" w:rsidRPr="00266BAD" w14:paraId="014519C1" w14:textId="77777777" w:rsidTr="00356493">
        <w:trPr>
          <w:trHeight w:val="1530"/>
        </w:trPr>
        <w:tc>
          <w:tcPr>
            <w:tcW w:w="1456" w:type="dxa"/>
            <w:shd w:val="clear" w:color="auto" w:fill="auto"/>
            <w:vAlign w:val="center"/>
            <w:hideMark/>
          </w:tcPr>
          <w:p w14:paraId="69C2CB7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212-2020</w:t>
            </w:r>
          </w:p>
        </w:tc>
        <w:tc>
          <w:tcPr>
            <w:tcW w:w="8175" w:type="dxa"/>
            <w:shd w:val="clear" w:color="auto" w:fill="auto"/>
            <w:hideMark/>
          </w:tcPr>
          <w:p w14:paraId="7105A984"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8814-2020 del Consejo Superior, mediante el cual comunica el acuerdo de sesión 88-2020, del pasado 10 de setiembre de 2020, artículo XXXIII, donde se conoció el tema del estudio realizado con el objeto de obtener los insumos complementarios, requeridos para ponderar la carga de trabajo del personal de las fiscalías penales, generada por la atención de las causas asignadas en las que intervienen personas indígenas. </w:t>
            </w:r>
          </w:p>
        </w:tc>
      </w:tr>
      <w:tr w:rsidR="00356493" w:rsidRPr="00266BAD" w14:paraId="29914455" w14:textId="77777777" w:rsidTr="00356493">
        <w:trPr>
          <w:trHeight w:val="1530"/>
        </w:trPr>
        <w:tc>
          <w:tcPr>
            <w:tcW w:w="1456" w:type="dxa"/>
            <w:shd w:val="clear" w:color="auto" w:fill="auto"/>
            <w:vAlign w:val="center"/>
            <w:hideMark/>
          </w:tcPr>
          <w:p w14:paraId="52F9AAB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213-2020</w:t>
            </w:r>
          </w:p>
        </w:tc>
        <w:tc>
          <w:tcPr>
            <w:tcW w:w="8175" w:type="dxa"/>
            <w:shd w:val="clear" w:color="auto" w:fill="auto"/>
            <w:hideMark/>
          </w:tcPr>
          <w:p w14:paraId="4F16679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1490-PLA-MI-2020, de la Dirección de Planificación, mediante el cual remite al Consejo Superior, el informe suscrito por la Inga. Elena Gabriela Picado González, Jefa a.i. del Subproceso de Modernización Institucional, relacionado con el resumen de los antecedentes y situación actual respecto a las plazas de Custodias y Custodios de personas detenidas para analizar el movimiento de estas plazas. </w:t>
            </w:r>
          </w:p>
        </w:tc>
      </w:tr>
      <w:tr w:rsidR="00356493" w:rsidRPr="00266BAD" w14:paraId="48AA782C" w14:textId="77777777" w:rsidTr="00356493">
        <w:trPr>
          <w:trHeight w:val="1275"/>
        </w:trPr>
        <w:tc>
          <w:tcPr>
            <w:tcW w:w="1456" w:type="dxa"/>
            <w:shd w:val="clear" w:color="auto" w:fill="auto"/>
            <w:vAlign w:val="center"/>
            <w:hideMark/>
          </w:tcPr>
          <w:p w14:paraId="44F72BF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214-2020</w:t>
            </w:r>
          </w:p>
        </w:tc>
        <w:tc>
          <w:tcPr>
            <w:tcW w:w="8175" w:type="dxa"/>
            <w:shd w:val="clear" w:color="auto" w:fill="auto"/>
            <w:hideMark/>
          </w:tcPr>
          <w:p w14:paraId="595FBB8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764-DG-2020, de la Dirección General del OIJ, mediante el cual la negativa del Ministerio de Justicia al momento de recibir personas detenidas, para que desde la dirección de la Comisión, a fin de poner en conocimiento a las autoridades penales del país. </w:t>
            </w:r>
          </w:p>
        </w:tc>
      </w:tr>
      <w:tr w:rsidR="00356493" w:rsidRPr="00266BAD" w14:paraId="5E7419B5" w14:textId="77777777" w:rsidTr="00356493">
        <w:trPr>
          <w:trHeight w:val="1530"/>
        </w:trPr>
        <w:tc>
          <w:tcPr>
            <w:tcW w:w="1456" w:type="dxa"/>
            <w:shd w:val="clear" w:color="auto" w:fill="auto"/>
            <w:vAlign w:val="center"/>
            <w:hideMark/>
          </w:tcPr>
          <w:p w14:paraId="4ED0FE0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215-2020</w:t>
            </w:r>
          </w:p>
        </w:tc>
        <w:tc>
          <w:tcPr>
            <w:tcW w:w="8175" w:type="dxa"/>
            <w:shd w:val="clear" w:color="auto" w:fill="auto"/>
            <w:hideMark/>
          </w:tcPr>
          <w:p w14:paraId="42AF69A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8833-2020, del Consejo Superior, mediante el cual comunican el acuerdo de sesión 86-2020, del 3 de setiembre de 2020, artículo XXIX, donde se conoció el oficio CJP172-2020, sobre “Responsabilidad de la Jueza o el Juez Coordinador del despacho, de dejar constancia al momento de realizar el remesado, de que no existen bienes decomisados o evidencias ligadas a los expedientes ni documentos de interés para las partes”.  </w:t>
            </w:r>
          </w:p>
        </w:tc>
      </w:tr>
      <w:tr w:rsidR="00356493" w:rsidRPr="00266BAD" w14:paraId="31CBF909" w14:textId="77777777" w:rsidTr="00356493">
        <w:trPr>
          <w:trHeight w:val="1020"/>
        </w:trPr>
        <w:tc>
          <w:tcPr>
            <w:tcW w:w="1456" w:type="dxa"/>
            <w:shd w:val="clear" w:color="auto" w:fill="auto"/>
            <w:vAlign w:val="center"/>
            <w:hideMark/>
          </w:tcPr>
          <w:p w14:paraId="270B14E4"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216-2020</w:t>
            </w:r>
          </w:p>
        </w:tc>
        <w:tc>
          <w:tcPr>
            <w:tcW w:w="8175" w:type="dxa"/>
            <w:shd w:val="clear" w:color="auto" w:fill="auto"/>
            <w:hideMark/>
          </w:tcPr>
          <w:p w14:paraId="6F2D2406"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8797-2020 del Consejo Superior, comunicando acuerdo de sesión 86-2020 del 03 de setiembre de 2020, artículo LIII, donde se conoció el oficio CJP179-2020, mediante el cual la jurisdicción de la Fortuna solicita aclaración de la Circular 140-2020. </w:t>
            </w:r>
          </w:p>
        </w:tc>
      </w:tr>
      <w:tr w:rsidR="00356493" w:rsidRPr="00266BAD" w14:paraId="547475C1" w14:textId="77777777" w:rsidTr="00356493">
        <w:trPr>
          <w:trHeight w:val="1275"/>
        </w:trPr>
        <w:tc>
          <w:tcPr>
            <w:tcW w:w="1456" w:type="dxa"/>
            <w:shd w:val="clear" w:color="auto" w:fill="auto"/>
            <w:vAlign w:val="center"/>
            <w:hideMark/>
          </w:tcPr>
          <w:p w14:paraId="791D95A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217-2020</w:t>
            </w:r>
          </w:p>
        </w:tc>
        <w:tc>
          <w:tcPr>
            <w:tcW w:w="8175" w:type="dxa"/>
            <w:shd w:val="clear" w:color="auto" w:fill="auto"/>
            <w:hideMark/>
          </w:tcPr>
          <w:p w14:paraId="7F03EBA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1510-PLA-PE-2020, de la Dirección de Planificación relacionado con el tercer informe de seguimiento del 2020, de los proyectos incorporados al Portafolio Institucional de Proyectos Estratégicos. Adicionalmente, para el caso de los proyectos en los cuales se concedieron licencias de permiso con goce de salario, según lo estipulado en el artículo 44 de la Ley Orgánica del Poder Judicial</w:t>
            </w:r>
            <w:r>
              <w:rPr>
                <w:rFonts w:ascii="Cambria" w:eastAsia="Times New Roman" w:hAnsi="Cambria" w:cs="Calibri"/>
                <w:sz w:val="20"/>
                <w:szCs w:val="20"/>
                <w:lang w:eastAsia="es-CR"/>
              </w:rPr>
              <w:t>.</w:t>
            </w:r>
          </w:p>
        </w:tc>
      </w:tr>
      <w:tr w:rsidR="00356493" w:rsidRPr="00266BAD" w14:paraId="004F45D6" w14:textId="77777777" w:rsidTr="00356493">
        <w:trPr>
          <w:trHeight w:val="1275"/>
        </w:trPr>
        <w:tc>
          <w:tcPr>
            <w:tcW w:w="1456" w:type="dxa"/>
            <w:shd w:val="clear" w:color="auto" w:fill="auto"/>
            <w:vAlign w:val="center"/>
            <w:hideMark/>
          </w:tcPr>
          <w:p w14:paraId="12D6525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218-2020</w:t>
            </w:r>
          </w:p>
        </w:tc>
        <w:tc>
          <w:tcPr>
            <w:tcW w:w="8175" w:type="dxa"/>
            <w:shd w:val="clear" w:color="auto" w:fill="auto"/>
            <w:hideMark/>
          </w:tcPr>
          <w:p w14:paraId="4321BCA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8901-2020, del Consejo Superior, comunicando acuerdo de sesión 92-2020, del 22 de setiembre de 2020, artículo XL, donde se conoció el oficio Nº 1372-PLA-MI-2020 relacionado con el diagnóstico y propuestas para el Proyecto de Mejora Integral del Proceso Penal Ministerio Público - Fiscalía de Pavas. </w:t>
            </w:r>
          </w:p>
        </w:tc>
      </w:tr>
      <w:tr w:rsidR="00356493" w:rsidRPr="00266BAD" w14:paraId="54669D22" w14:textId="77777777" w:rsidTr="00356493">
        <w:trPr>
          <w:trHeight w:val="1530"/>
        </w:trPr>
        <w:tc>
          <w:tcPr>
            <w:tcW w:w="1456" w:type="dxa"/>
            <w:shd w:val="clear" w:color="auto" w:fill="auto"/>
            <w:vAlign w:val="center"/>
            <w:hideMark/>
          </w:tcPr>
          <w:p w14:paraId="7C36DD2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219-2020</w:t>
            </w:r>
          </w:p>
        </w:tc>
        <w:tc>
          <w:tcPr>
            <w:tcW w:w="8175" w:type="dxa"/>
            <w:shd w:val="clear" w:color="auto" w:fill="auto"/>
            <w:hideMark/>
          </w:tcPr>
          <w:p w14:paraId="5FD047F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1532-PLA-OI-2020, de la Dirección de Planificación, mediante el cual remite informe sobre el seguimiento mensual de las labores realizadas por las oficinas durante la emergencia por Covid-19</w:t>
            </w:r>
            <w:r>
              <w:rPr>
                <w:rFonts w:ascii="Cambria" w:eastAsia="Times New Roman" w:hAnsi="Cambria" w:cs="Calibri"/>
                <w:sz w:val="20"/>
                <w:szCs w:val="20"/>
                <w:lang w:eastAsia="es-CR"/>
              </w:rPr>
              <w:t>.</w:t>
            </w:r>
          </w:p>
        </w:tc>
      </w:tr>
      <w:tr w:rsidR="00356493" w:rsidRPr="00266BAD" w14:paraId="3D302C5B" w14:textId="77777777" w:rsidTr="00356493">
        <w:trPr>
          <w:trHeight w:val="1275"/>
        </w:trPr>
        <w:tc>
          <w:tcPr>
            <w:tcW w:w="1456" w:type="dxa"/>
            <w:shd w:val="clear" w:color="auto" w:fill="auto"/>
            <w:vAlign w:val="center"/>
            <w:hideMark/>
          </w:tcPr>
          <w:p w14:paraId="7FA7149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220-2020</w:t>
            </w:r>
          </w:p>
        </w:tc>
        <w:tc>
          <w:tcPr>
            <w:tcW w:w="8175" w:type="dxa"/>
            <w:shd w:val="clear" w:color="auto" w:fill="auto"/>
            <w:hideMark/>
          </w:tcPr>
          <w:p w14:paraId="47CDCCA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1513-PLA-ES-2020, de la Dirección de Planificación, mediante el cual remite copia del informe relacionado con las inconsistencias detectadas mediante la generación de los informes de inconsistencias y durante el proceso de elaboración de datos estadísticos. </w:t>
            </w:r>
          </w:p>
        </w:tc>
      </w:tr>
      <w:tr w:rsidR="00356493" w:rsidRPr="00266BAD" w14:paraId="3A6F66EE" w14:textId="77777777" w:rsidTr="00356493">
        <w:trPr>
          <w:trHeight w:val="1530"/>
        </w:trPr>
        <w:tc>
          <w:tcPr>
            <w:tcW w:w="1456" w:type="dxa"/>
            <w:shd w:val="clear" w:color="auto" w:fill="auto"/>
            <w:vAlign w:val="center"/>
            <w:hideMark/>
          </w:tcPr>
          <w:p w14:paraId="7C22802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221-2020</w:t>
            </w:r>
          </w:p>
        </w:tc>
        <w:tc>
          <w:tcPr>
            <w:tcW w:w="8175" w:type="dxa"/>
            <w:shd w:val="clear" w:color="auto" w:fill="auto"/>
            <w:hideMark/>
          </w:tcPr>
          <w:p w14:paraId="529BB4A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74-FAPZ-JEFATURA-2020, de la Magistrada Damaris Vargas, mediante el cual remite al señor Presidente de la Corte, donde traslada en relación con la preocupación mostrada por el señor Ramírez Villalobos en la condición dicha, sobre las decisiones tomadas por la Jurisdicción Agraria y la Jurisdicción Penal sobre la situación en que se encuentra la población indígena de China Kichá en Pérez Zeledón y las acciones jurisdiccionales. </w:t>
            </w:r>
          </w:p>
        </w:tc>
      </w:tr>
      <w:tr w:rsidR="00356493" w:rsidRPr="00266BAD" w14:paraId="1E6E7410" w14:textId="77777777" w:rsidTr="00356493">
        <w:trPr>
          <w:trHeight w:val="1275"/>
        </w:trPr>
        <w:tc>
          <w:tcPr>
            <w:tcW w:w="1456" w:type="dxa"/>
            <w:shd w:val="clear" w:color="auto" w:fill="auto"/>
            <w:vAlign w:val="center"/>
            <w:hideMark/>
          </w:tcPr>
          <w:p w14:paraId="5ECC8BA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222-2020</w:t>
            </w:r>
          </w:p>
        </w:tc>
        <w:tc>
          <w:tcPr>
            <w:tcW w:w="8175" w:type="dxa"/>
            <w:shd w:val="clear" w:color="auto" w:fill="auto"/>
            <w:hideMark/>
          </w:tcPr>
          <w:p w14:paraId="6815912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8940-2020 del Consejo Superior, comunicando acuerdo del 24-09-2020 de sesión 93-2020, artículo LXV, donde se conoció el oficio CJP187-2020 sobre el informe de la licenciada Rebeca Herrera Padilla, Jefa de la Unidad de Atención a Personas Sujetas a Monitoreo con Dispositivo Electrónico (UME) y hacer este acuerdo de conocimiento de los Juzgados Penales. </w:t>
            </w:r>
          </w:p>
        </w:tc>
      </w:tr>
      <w:tr w:rsidR="00356493" w:rsidRPr="00266BAD" w14:paraId="2DF8AF9E" w14:textId="77777777" w:rsidTr="00356493">
        <w:trPr>
          <w:trHeight w:val="1020"/>
        </w:trPr>
        <w:tc>
          <w:tcPr>
            <w:tcW w:w="1456" w:type="dxa"/>
            <w:shd w:val="clear" w:color="auto" w:fill="auto"/>
            <w:vAlign w:val="center"/>
            <w:hideMark/>
          </w:tcPr>
          <w:p w14:paraId="0E675D1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223-2020</w:t>
            </w:r>
          </w:p>
        </w:tc>
        <w:tc>
          <w:tcPr>
            <w:tcW w:w="8175" w:type="dxa"/>
            <w:shd w:val="clear" w:color="auto" w:fill="auto"/>
            <w:hideMark/>
          </w:tcPr>
          <w:p w14:paraId="2E69DAB9"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9198-2020 de Corte Plena, mediante el cual comunica acuerdo de sesión 50-2020 del 7 de setiembre de 2020, artículo XXVI, donde se conoció el oficio CJP170-2020 sobre los allanamientos en Pavas, y el Covid-19. </w:t>
            </w:r>
          </w:p>
        </w:tc>
      </w:tr>
      <w:tr w:rsidR="00356493" w:rsidRPr="00266BAD" w14:paraId="5F9CDAD7" w14:textId="77777777" w:rsidTr="00356493">
        <w:trPr>
          <w:trHeight w:val="1020"/>
        </w:trPr>
        <w:tc>
          <w:tcPr>
            <w:tcW w:w="1456" w:type="dxa"/>
            <w:shd w:val="clear" w:color="auto" w:fill="auto"/>
            <w:vAlign w:val="center"/>
            <w:hideMark/>
          </w:tcPr>
          <w:p w14:paraId="3876140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224-2020</w:t>
            </w:r>
          </w:p>
        </w:tc>
        <w:tc>
          <w:tcPr>
            <w:tcW w:w="8175" w:type="dxa"/>
            <w:shd w:val="clear" w:color="auto" w:fill="auto"/>
            <w:hideMark/>
          </w:tcPr>
          <w:p w14:paraId="24EAD29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9187-2020 oficio del Consejo Superior, comunicando acuerdo de sesión 50-2020 del 7 de setiembre de 2020, artículo XVIII, donde se conoció, lo relacionado con la propuesta del modelo de gestión de riesgos estratégicos en el Poder Judicial. </w:t>
            </w:r>
          </w:p>
        </w:tc>
      </w:tr>
      <w:tr w:rsidR="00356493" w:rsidRPr="00266BAD" w14:paraId="37455A3E" w14:textId="77777777" w:rsidTr="00356493">
        <w:trPr>
          <w:trHeight w:val="1800"/>
        </w:trPr>
        <w:tc>
          <w:tcPr>
            <w:tcW w:w="1456" w:type="dxa"/>
            <w:shd w:val="clear" w:color="auto" w:fill="auto"/>
            <w:vAlign w:val="center"/>
            <w:hideMark/>
          </w:tcPr>
          <w:p w14:paraId="1F8465F7"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225-2020</w:t>
            </w:r>
          </w:p>
        </w:tc>
        <w:tc>
          <w:tcPr>
            <w:tcW w:w="8175" w:type="dxa"/>
            <w:shd w:val="clear" w:color="auto" w:fill="auto"/>
            <w:hideMark/>
          </w:tcPr>
          <w:p w14:paraId="354871D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8975-2020 de Corte Plena, comunicando acuerdo de sesión 50-2020 del 7 de setiembre de 2020, artículo XII, donde se tomó el acuerdo en atención a la declaratoria de emergencia nacional, debido a la situación de emergencia sanitaria provocada por la enfermedad COVID-19, en el cual jurisdicciones remitir a esta Corte Plena un plan de trabajo remedial para las audiencias que no se han podido realizar, para los próximos seis meses, conforme a lo expuesto. </w:t>
            </w:r>
          </w:p>
        </w:tc>
      </w:tr>
      <w:tr w:rsidR="00356493" w:rsidRPr="00266BAD" w14:paraId="328B3BA5" w14:textId="77777777" w:rsidTr="00356493">
        <w:trPr>
          <w:trHeight w:val="765"/>
        </w:trPr>
        <w:tc>
          <w:tcPr>
            <w:tcW w:w="1456" w:type="dxa"/>
            <w:shd w:val="clear" w:color="auto" w:fill="auto"/>
            <w:vAlign w:val="center"/>
            <w:hideMark/>
          </w:tcPr>
          <w:p w14:paraId="7AA3DB61"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226-2020</w:t>
            </w:r>
          </w:p>
        </w:tc>
        <w:tc>
          <w:tcPr>
            <w:tcW w:w="8175" w:type="dxa"/>
            <w:shd w:val="clear" w:color="auto" w:fill="auto"/>
            <w:hideMark/>
          </w:tcPr>
          <w:p w14:paraId="7B2416CA"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9130-2020 de Corte Plena, mediante el cual comunica acuerdo de sesión 55-2020, del 28-09-2020, artículo XIV, donde se prorrogan las medidas de la situación de emergencia sanitaria provocada por la enfermedad COVID-19. </w:t>
            </w:r>
          </w:p>
        </w:tc>
      </w:tr>
      <w:tr w:rsidR="00356493" w:rsidRPr="00266BAD" w14:paraId="6D01F1ED" w14:textId="77777777" w:rsidTr="00356493">
        <w:trPr>
          <w:trHeight w:val="1275"/>
        </w:trPr>
        <w:tc>
          <w:tcPr>
            <w:tcW w:w="1456" w:type="dxa"/>
            <w:shd w:val="clear" w:color="auto" w:fill="auto"/>
            <w:vAlign w:val="center"/>
            <w:hideMark/>
          </w:tcPr>
          <w:p w14:paraId="227BF0F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227-2020</w:t>
            </w:r>
          </w:p>
        </w:tc>
        <w:tc>
          <w:tcPr>
            <w:tcW w:w="8175" w:type="dxa"/>
            <w:shd w:val="clear" w:color="auto" w:fill="auto"/>
            <w:hideMark/>
          </w:tcPr>
          <w:p w14:paraId="07D7631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1562-PLA-EV-2020, de la Dirección de Planificación, mediante el cual remite el informe relacionado con la revisión del monto de la cuantía en materia Civil, para efecto de establecer el tope entre menor y mayor cuantía y por consiguiente el acceso al recurso de Casación</w:t>
            </w:r>
            <w:r>
              <w:rPr>
                <w:rFonts w:ascii="Cambria" w:eastAsia="Times New Roman" w:hAnsi="Cambria" w:cs="Calibri"/>
                <w:sz w:val="20"/>
                <w:szCs w:val="20"/>
                <w:lang w:eastAsia="es-CR"/>
              </w:rPr>
              <w:t>.</w:t>
            </w:r>
            <w:r w:rsidRPr="00266BAD">
              <w:rPr>
                <w:rFonts w:ascii="Cambria" w:eastAsia="Times New Roman" w:hAnsi="Cambria" w:cs="Calibri"/>
                <w:sz w:val="20"/>
                <w:szCs w:val="20"/>
                <w:lang w:eastAsia="es-CR"/>
              </w:rPr>
              <w:t xml:space="preserve"> </w:t>
            </w:r>
          </w:p>
        </w:tc>
      </w:tr>
      <w:tr w:rsidR="00356493" w:rsidRPr="00266BAD" w14:paraId="3918F43F" w14:textId="77777777" w:rsidTr="00356493">
        <w:trPr>
          <w:trHeight w:val="1530"/>
        </w:trPr>
        <w:tc>
          <w:tcPr>
            <w:tcW w:w="1456" w:type="dxa"/>
            <w:shd w:val="clear" w:color="auto" w:fill="auto"/>
            <w:vAlign w:val="center"/>
            <w:hideMark/>
          </w:tcPr>
          <w:p w14:paraId="7EAAF93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228-2020</w:t>
            </w:r>
          </w:p>
        </w:tc>
        <w:tc>
          <w:tcPr>
            <w:tcW w:w="8175" w:type="dxa"/>
            <w:shd w:val="clear" w:color="auto" w:fill="auto"/>
            <w:hideMark/>
          </w:tcPr>
          <w:p w14:paraId="0028D25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Benito Martin Jiménez Carranza, de fecha 09-10-2020, mediante el cual remite la consulta en relación a los alcances del artículo 405 bis del Código Penal, tanto para las denuncias por Maltrato o Abandono de Animales, que nos plantean en los Despachos contravencionales, como aquellas de esa naturaleza ingresadas por incompetencia del Ministerio Público. </w:t>
            </w:r>
          </w:p>
        </w:tc>
      </w:tr>
      <w:tr w:rsidR="00356493" w:rsidRPr="00266BAD" w14:paraId="5C41866E" w14:textId="77777777" w:rsidTr="00356493">
        <w:trPr>
          <w:trHeight w:val="1530"/>
        </w:trPr>
        <w:tc>
          <w:tcPr>
            <w:tcW w:w="1456" w:type="dxa"/>
            <w:shd w:val="clear" w:color="auto" w:fill="auto"/>
            <w:vAlign w:val="center"/>
            <w:hideMark/>
          </w:tcPr>
          <w:p w14:paraId="0D5EDCA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229-2020</w:t>
            </w:r>
          </w:p>
        </w:tc>
        <w:tc>
          <w:tcPr>
            <w:tcW w:w="8175" w:type="dxa"/>
            <w:shd w:val="clear" w:color="auto" w:fill="auto"/>
            <w:hideMark/>
          </w:tcPr>
          <w:p w14:paraId="0B4474C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Correo del señor José Berlatta Valladares, de fecha 12-10-2020, mediante el cual plantea consulta con respecto a la circular 120-2020 sobre las audiencias virtuales por medio de la plataforma Teams. </w:t>
            </w:r>
          </w:p>
        </w:tc>
      </w:tr>
      <w:tr w:rsidR="00356493" w:rsidRPr="00266BAD" w14:paraId="42581998" w14:textId="77777777" w:rsidTr="00356493">
        <w:trPr>
          <w:trHeight w:val="2295"/>
        </w:trPr>
        <w:tc>
          <w:tcPr>
            <w:tcW w:w="1456" w:type="dxa"/>
            <w:shd w:val="clear" w:color="auto" w:fill="auto"/>
            <w:vAlign w:val="center"/>
            <w:hideMark/>
          </w:tcPr>
          <w:p w14:paraId="58CF1F5F"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230-2020</w:t>
            </w:r>
          </w:p>
        </w:tc>
        <w:tc>
          <w:tcPr>
            <w:tcW w:w="8175" w:type="dxa"/>
            <w:shd w:val="clear" w:color="auto" w:fill="auto"/>
            <w:hideMark/>
          </w:tcPr>
          <w:p w14:paraId="1CF3718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317-STGAJ-2020, de la Secretaría Técnica de Género y Acceso a la Justicia, mediante el cual remite informe relacionado con los indicadores institucionales, legislación nacional e instrumentos internacionales, relacionados con el reconocimiento y ejercicio de derechos de las personas menores de edad víctimas en los procesos judiciales. </w:t>
            </w:r>
          </w:p>
        </w:tc>
      </w:tr>
      <w:tr w:rsidR="00356493" w:rsidRPr="00266BAD" w14:paraId="5123335C" w14:textId="77777777" w:rsidTr="00356493">
        <w:trPr>
          <w:trHeight w:val="1020"/>
        </w:trPr>
        <w:tc>
          <w:tcPr>
            <w:tcW w:w="1456" w:type="dxa"/>
            <w:shd w:val="clear" w:color="auto" w:fill="auto"/>
            <w:vAlign w:val="center"/>
            <w:hideMark/>
          </w:tcPr>
          <w:p w14:paraId="48DAC139"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231-2020</w:t>
            </w:r>
          </w:p>
        </w:tc>
        <w:tc>
          <w:tcPr>
            <w:tcW w:w="8175" w:type="dxa"/>
            <w:shd w:val="clear" w:color="auto" w:fill="auto"/>
            <w:hideMark/>
          </w:tcPr>
          <w:p w14:paraId="0B337BD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9541-2020 del Consejo superior, mediante el cual comunica el acuerdo de sesión 95-2020 del 2 de octubre de 2020, artículo XLI, sobre el informe 1433-PLA-OI-2020, del Rediseño de Procesos del Tribunal Penal de Limón</w:t>
            </w:r>
            <w:r>
              <w:rPr>
                <w:rFonts w:ascii="Cambria" w:eastAsia="Times New Roman" w:hAnsi="Cambria" w:cs="Calibri"/>
                <w:sz w:val="20"/>
                <w:szCs w:val="20"/>
                <w:lang w:eastAsia="es-CR"/>
              </w:rPr>
              <w:t>.</w:t>
            </w:r>
          </w:p>
        </w:tc>
      </w:tr>
      <w:tr w:rsidR="00356493" w:rsidRPr="00266BAD" w14:paraId="1E4075F4" w14:textId="77777777" w:rsidTr="00356493">
        <w:trPr>
          <w:trHeight w:val="1020"/>
        </w:trPr>
        <w:tc>
          <w:tcPr>
            <w:tcW w:w="1456" w:type="dxa"/>
            <w:shd w:val="clear" w:color="auto" w:fill="auto"/>
            <w:vAlign w:val="center"/>
            <w:hideMark/>
          </w:tcPr>
          <w:p w14:paraId="4E76301B"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232-2020</w:t>
            </w:r>
          </w:p>
        </w:tc>
        <w:tc>
          <w:tcPr>
            <w:tcW w:w="8175" w:type="dxa"/>
            <w:shd w:val="clear" w:color="auto" w:fill="auto"/>
            <w:hideMark/>
          </w:tcPr>
          <w:p w14:paraId="272053E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9584-2020 del Consejo Superior, mediante el cual comunica el acuerdo de sesión 93-2020 del 24 de setiembre de 2020, artículo XLV, sobre el informe 1434-PLA-OI-2020, Rediseño de Procesos del modelo Penal por medio de nuevas tecnologías de información del Juzgado Penal de Talamanca</w:t>
            </w:r>
            <w:r>
              <w:rPr>
                <w:rFonts w:ascii="Cambria" w:eastAsia="Times New Roman" w:hAnsi="Cambria" w:cs="Calibri"/>
                <w:sz w:val="20"/>
                <w:szCs w:val="20"/>
                <w:lang w:eastAsia="es-CR"/>
              </w:rPr>
              <w:t>.</w:t>
            </w:r>
          </w:p>
        </w:tc>
      </w:tr>
      <w:tr w:rsidR="00356493" w:rsidRPr="00266BAD" w14:paraId="137CABBD" w14:textId="77777777" w:rsidTr="00356493">
        <w:trPr>
          <w:trHeight w:val="2400"/>
        </w:trPr>
        <w:tc>
          <w:tcPr>
            <w:tcW w:w="1456" w:type="dxa"/>
            <w:shd w:val="clear" w:color="auto" w:fill="auto"/>
            <w:vAlign w:val="center"/>
            <w:hideMark/>
          </w:tcPr>
          <w:p w14:paraId="29F9D6BA"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233-2020</w:t>
            </w:r>
          </w:p>
        </w:tc>
        <w:tc>
          <w:tcPr>
            <w:tcW w:w="8175" w:type="dxa"/>
            <w:shd w:val="clear" w:color="auto" w:fill="auto"/>
            <w:hideMark/>
          </w:tcPr>
          <w:p w14:paraId="70AF632D"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1598-PLA-ES-2020, de la Dirección de Planificación, mediante el cual remite informe sobre el número de personas sentenciadas en los tribunales penales del país, durante el 2019</w:t>
            </w:r>
            <w:r>
              <w:rPr>
                <w:rFonts w:ascii="Cambria" w:eastAsia="Times New Roman" w:hAnsi="Cambria" w:cs="Calibri"/>
                <w:sz w:val="20"/>
                <w:szCs w:val="20"/>
                <w:lang w:eastAsia="es-CR"/>
              </w:rPr>
              <w:t>.</w:t>
            </w:r>
            <w:r w:rsidRPr="00266BAD">
              <w:rPr>
                <w:rFonts w:ascii="Cambria" w:eastAsia="Times New Roman" w:hAnsi="Cambria" w:cs="Calibri"/>
                <w:sz w:val="20"/>
                <w:szCs w:val="20"/>
                <w:lang w:eastAsia="es-CR"/>
              </w:rPr>
              <w:t xml:space="preserve"> </w:t>
            </w:r>
          </w:p>
        </w:tc>
      </w:tr>
      <w:tr w:rsidR="00356493" w:rsidRPr="00266BAD" w14:paraId="349CE4CB" w14:textId="77777777" w:rsidTr="00356493">
        <w:trPr>
          <w:trHeight w:val="1800"/>
        </w:trPr>
        <w:tc>
          <w:tcPr>
            <w:tcW w:w="1456" w:type="dxa"/>
            <w:shd w:val="clear" w:color="auto" w:fill="auto"/>
            <w:vAlign w:val="center"/>
            <w:hideMark/>
          </w:tcPr>
          <w:p w14:paraId="30D524D6"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234-2020</w:t>
            </w:r>
          </w:p>
        </w:tc>
        <w:tc>
          <w:tcPr>
            <w:tcW w:w="8175" w:type="dxa"/>
            <w:shd w:val="clear" w:color="auto" w:fill="auto"/>
            <w:hideMark/>
          </w:tcPr>
          <w:p w14:paraId="7BF301E7"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1613-PLA-ES-2020, de la Dirección de Planificación, mediante el cual remite el informe relacionado con la situación de las personas detenidas, sin y con sentencia, a la orden de los Juzgados y Tribunales Penales del país, al finalizar el 2019, ingreso el 16-10-2020, dan 22 días naturales vence el 07-11-2020</w:t>
            </w:r>
          </w:p>
        </w:tc>
      </w:tr>
      <w:tr w:rsidR="00356493" w:rsidRPr="00266BAD" w14:paraId="076C68AE" w14:textId="77777777" w:rsidTr="00356493">
        <w:trPr>
          <w:trHeight w:val="1800"/>
        </w:trPr>
        <w:tc>
          <w:tcPr>
            <w:tcW w:w="1456" w:type="dxa"/>
            <w:shd w:val="clear" w:color="auto" w:fill="auto"/>
            <w:vAlign w:val="center"/>
            <w:hideMark/>
          </w:tcPr>
          <w:p w14:paraId="02020C8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235-2020</w:t>
            </w:r>
          </w:p>
        </w:tc>
        <w:tc>
          <w:tcPr>
            <w:tcW w:w="8175" w:type="dxa"/>
            <w:shd w:val="clear" w:color="auto" w:fill="auto"/>
            <w:hideMark/>
          </w:tcPr>
          <w:p w14:paraId="23A837AB"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DP-541-2020 del Despacho de la Presidencia, mediante el cual solicitan el informe anual de la Comisión, para la rendición de cuentas del año 2019-2020.</w:t>
            </w:r>
          </w:p>
        </w:tc>
      </w:tr>
      <w:tr w:rsidR="00356493" w:rsidRPr="00266BAD" w14:paraId="46FB4F96" w14:textId="77777777" w:rsidTr="00356493">
        <w:trPr>
          <w:trHeight w:val="1800"/>
        </w:trPr>
        <w:tc>
          <w:tcPr>
            <w:tcW w:w="1456" w:type="dxa"/>
            <w:shd w:val="clear" w:color="auto" w:fill="auto"/>
            <w:vAlign w:val="center"/>
            <w:hideMark/>
          </w:tcPr>
          <w:p w14:paraId="64F87F4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237-2020</w:t>
            </w:r>
          </w:p>
        </w:tc>
        <w:tc>
          <w:tcPr>
            <w:tcW w:w="8175" w:type="dxa"/>
            <w:shd w:val="clear" w:color="auto" w:fill="auto"/>
            <w:hideMark/>
          </w:tcPr>
          <w:p w14:paraId="2C36A24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1628-PLA-ES-2020, de la Dirección de Planificación, mediante el cual remite el informe relacionado con los movimientos de trabajo en las Fiscalías Penales Juveniles del Ministerio Público, durante el 2019 y el último quinquenio</w:t>
            </w:r>
            <w:r>
              <w:rPr>
                <w:rFonts w:ascii="Cambria" w:eastAsia="Times New Roman" w:hAnsi="Cambria" w:cs="Calibri"/>
                <w:sz w:val="20"/>
                <w:szCs w:val="20"/>
                <w:lang w:eastAsia="es-CR"/>
              </w:rPr>
              <w:t>.</w:t>
            </w:r>
            <w:r w:rsidRPr="00266BAD">
              <w:rPr>
                <w:rFonts w:ascii="Cambria" w:eastAsia="Times New Roman" w:hAnsi="Cambria" w:cs="Calibri"/>
                <w:sz w:val="20"/>
                <w:szCs w:val="20"/>
                <w:lang w:eastAsia="es-CR"/>
              </w:rPr>
              <w:t xml:space="preserve"> </w:t>
            </w:r>
          </w:p>
        </w:tc>
      </w:tr>
      <w:tr w:rsidR="00356493" w:rsidRPr="00266BAD" w14:paraId="49977737" w14:textId="77777777" w:rsidTr="00356493">
        <w:trPr>
          <w:trHeight w:val="1800"/>
        </w:trPr>
        <w:tc>
          <w:tcPr>
            <w:tcW w:w="1456" w:type="dxa"/>
            <w:shd w:val="clear" w:color="auto" w:fill="auto"/>
            <w:vAlign w:val="center"/>
            <w:hideMark/>
          </w:tcPr>
          <w:p w14:paraId="3228FB45"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238-2020</w:t>
            </w:r>
          </w:p>
        </w:tc>
        <w:tc>
          <w:tcPr>
            <w:tcW w:w="8175" w:type="dxa"/>
            <w:shd w:val="clear" w:color="auto" w:fill="auto"/>
            <w:hideMark/>
          </w:tcPr>
          <w:p w14:paraId="693C4E5F"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1629-PLA-ES-2020, de la Dirección de Planificación, mediante el cual remite el informe relacionado con los movimientos de trabajo en los tribunales penales, durante el 2019 y el último quinquenio</w:t>
            </w:r>
            <w:r>
              <w:rPr>
                <w:rFonts w:ascii="Cambria" w:eastAsia="Times New Roman" w:hAnsi="Cambria" w:cs="Calibri"/>
                <w:sz w:val="20"/>
                <w:szCs w:val="20"/>
                <w:lang w:eastAsia="es-CR"/>
              </w:rPr>
              <w:t>.</w:t>
            </w:r>
          </w:p>
        </w:tc>
      </w:tr>
      <w:tr w:rsidR="00356493" w:rsidRPr="00266BAD" w14:paraId="773016C2" w14:textId="77777777" w:rsidTr="00356493">
        <w:trPr>
          <w:trHeight w:val="2040"/>
        </w:trPr>
        <w:tc>
          <w:tcPr>
            <w:tcW w:w="1456" w:type="dxa"/>
            <w:shd w:val="clear" w:color="auto" w:fill="auto"/>
            <w:vAlign w:val="center"/>
            <w:hideMark/>
          </w:tcPr>
          <w:p w14:paraId="52C5579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242-2020</w:t>
            </w:r>
          </w:p>
        </w:tc>
        <w:tc>
          <w:tcPr>
            <w:tcW w:w="8175" w:type="dxa"/>
            <w:shd w:val="clear" w:color="auto" w:fill="auto"/>
            <w:hideMark/>
          </w:tcPr>
          <w:p w14:paraId="77BF0BAE"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1308-290-ISEG-SEGA-2020, de la Auditoría Judicial, mediante el cual remite solicitud de informar sobre lo relacionado con los accesos y permisos otorgados a nivel del Ministerio Público, respecto las anotaciones en el Sistema de Registro Electrónico de Mandamientos</w:t>
            </w:r>
            <w:r>
              <w:rPr>
                <w:rFonts w:ascii="Cambria" w:eastAsia="Times New Roman" w:hAnsi="Cambria" w:cs="Calibri"/>
                <w:sz w:val="20"/>
                <w:szCs w:val="20"/>
                <w:lang w:eastAsia="es-CR"/>
              </w:rPr>
              <w:t>.</w:t>
            </w:r>
          </w:p>
        </w:tc>
      </w:tr>
      <w:tr w:rsidR="00356493" w:rsidRPr="00266BAD" w14:paraId="0B71DD32" w14:textId="77777777" w:rsidTr="00356493">
        <w:trPr>
          <w:trHeight w:val="1530"/>
        </w:trPr>
        <w:tc>
          <w:tcPr>
            <w:tcW w:w="1456" w:type="dxa"/>
            <w:shd w:val="clear" w:color="auto" w:fill="auto"/>
            <w:vAlign w:val="center"/>
            <w:hideMark/>
          </w:tcPr>
          <w:p w14:paraId="0AE5F6C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245-2020</w:t>
            </w:r>
          </w:p>
        </w:tc>
        <w:tc>
          <w:tcPr>
            <w:tcW w:w="8175" w:type="dxa"/>
            <w:shd w:val="clear" w:color="auto" w:fill="auto"/>
            <w:hideMark/>
          </w:tcPr>
          <w:p w14:paraId="333821B5"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350-STGAJ-2020, de la Secretaría Técnica de Genero y Acceso a la Justicia, mediante el cual remiten informe 702-PLA-ES-2020, sobre variables sociodemográficas, en las diversas materias, para que desde esta jurisdicción se coadyuve en temas de inclusión de datos estadísticos por parte de los despachos judiciales. </w:t>
            </w:r>
          </w:p>
        </w:tc>
      </w:tr>
      <w:tr w:rsidR="00356493" w:rsidRPr="00266BAD" w14:paraId="194797D5" w14:textId="77777777" w:rsidTr="00356493">
        <w:trPr>
          <w:trHeight w:val="1800"/>
        </w:trPr>
        <w:tc>
          <w:tcPr>
            <w:tcW w:w="1456" w:type="dxa"/>
            <w:shd w:val="clear" w:color="auto" w:fill="auto"/>
            <w:vAlign w:val="center"/>
            <w:hideMark/>
          </w:tcPr>
          <w:p w14:paraId="2A3F82BC"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260-2020</w:t>
            </w:r>
          </w:p>
        </w:tc>
        <w:tc>
          <w:tcPr>
            <w:tcW w:w="8175" w:type="dxa"/>
            <w:shd w:val="clear" w:color="auto" w:fill="auto"/>
            <w:hideMark/>
          </w:tcPr>
          <w:p w14:paraId="61872948"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1892-PLA-MI-OI-2020, de la Dirección de Planificación, mediante el cual remite el informe relacionado con el abordaje realizado a las oficinas de Flagrancia del Primer y Segundo Circuito Judicial de San José (Defensa Pública – Ministerio Público – Judicatura)</w:t>
            </w:r>
            <w:r>
              <w:rPr>
                <w:rFonts w:ascii="Cambria" w:eastAsia="Times New Roman" w:hAnsi="Cambria" w:cs="Calibri"/>
                <w:sz w:val="20"/>
                <w:szCs w:val="20"/>
                <w:lang w:eastAsia="es-CR"/>
              </w:rPr>
              <w:t>.</w:t>
            </w:r>
          </w:p>
        </w:tc>
      </w:tr>
      <w:tr w:rsidR="00356493" w:rsidRPr="00266BAD" w14:paraId="22CD28BB" w14:textId="77777777" w:rsidTr="00356493">
        <w:trPr>
          <w:trHeight w:val="1800"/>
        </w:trPr>
        <w:tc>
          <w:tcPr>
            <w:tcW w:w="1456" w:type="dxa"/>
            <w:shd w:val="clear" w:color="auto" w:fill="auto"/>
            <w:vAlign w:val="center"/>
            <w:hideMark/>
          </w:tcPr>
          <w:p w14:paraId="6A9896B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261-2020</w:t>
            </w:r>
          </w:p>
        </w:tc>
        <w:tc>
          <w:tcPr>
            <w:tcW w:w="8175" w:type="dxa"/>
            <w:shd w:val="clear" w:color="auto" w:fill="auto"/>
            <w:hideMark/>
          </w:tcPr>
          <w:p w14:paraId="7ADA467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1935-PLA-EV-2020, de la Dirección de Planificación, mediante el cual remiten el informe relacionado con la propuesta de las secciones de Flagrancia para realizar juicios durante el cierre colectivo 2020-2021</w:t>
            </w:r>
            <w:r>
              <w:rPr>
                <w:rFonts w:ascii="Cambria" w:eastAsia="Times New Roman" w:hAnsi="Cambria" w:cs="Calibri"/>
                <w:sz w:val="20"/>
                <w:szCs w:val="20"/>
                <w:lang w:eastAsia="es-CR"/>
              </w:rPr>
              <w:t>.</w:t>
            </w:r>
          </w:p>
        </w:tc>
      </w:tr>
      <w:tr w:rsidR="00356493" w:rsidRPr="00266BAD" w14:paraId="32330B83" w14:textId="77777777" w:rsidTr="00356493">
        <w:trPr>
          <w:trHeight w:val="1800"/>
        </w:trPr>
        <w:tc>
          <w:tcPr>
            <w:tcW w:w="1456" w:type="dxa"/>
            <w:shd w:val="clear" w:color="auto" w:fill="auto"/>
            <w:vAlign w:val="center"/>
            <w:hideMark/>
          </w:tcPr>
          <w:p w14:paraId="33A05318"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238-2020</w:t>
            </w:r>
          </w:p>
        </w:tc>
        <w:tc>
          <w:tcPr>
            <w:tcW w:w="8175" w:type="dxa"/>
            <w:shd w:val="clear" w:color="auto" w:fill="auto"/>
            <w:hideMark/>
          </w:tcPr>
          <w:p w14:paraId="28A08C4C"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1629-PLA-ES-2020, de la Dirección de Planificación, mediante el cual remite el informe relacionado con los movimientos de trabajo en los tribunales penales, durante el 2019 y el último quinquenio</w:t>
            </w:r>
            <w:r>
              <w:rPr>
                <w:rFonts w:ascii="Cambria" w:eastAsia="Times New Roman" w:hAnsi="Cambria" w:cs="Calibri"/>
                <w:sz w:val="20"/>
                <w:szCs w:val="20"/>
                <w:lang w:eastAsia="es-CR"/>
              </w:rPr>
              <w:t>.</w:t>
            </w:r>
          </w:p>
        </w:tc>
      </w:tr>
      <w:tr w:rsidR="00356493" w:rsidRPr="00266BAD" w14:paraId="35654D35" w14:textId="77777777" w:rsidTr="00356493">
        <w:trPr>
          <w:trHeight w:val="2040"/>
        </w:trPr>
        <w:tc>
          <w:tcPr>
            <w:tcW w:w="1456" w:type="dxa"/>
            <w:shd w:val="clear" w:color="auto" w:fill="auto"/>
            <w:vAlign w:val="center"/>
            <w:hideMark/>
          </w:tcPr>
          <w:p w14:paraId="6B4D7A80"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242-2020</w:t>
            </w:r>
          </w:p>
        </w:tc>
        <w:tc>
          <w:tcPr>
            <w:tcW w:w="8175" w:type="dxa"/>
            <w:shd w:val="clear" w:color="auto" w:fill="auto"/>
            <w:hideMark/>
          </w:tcPr>
          <w:p w14:paraId="16617F82"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1308-290-ISEG-SEGA-2020, de la Auditoría Judicial, mediante el cual remite solicitud de informar sobre lo relacionado con los accesos y permisos otorgados a nivel del Ministerio Público, respecto las anotaciones en el Sistema de Registro Electrónico de Mandamientos</w:t>
            </w:r>
            <w:r>
              <w:rPr>
                <w:rFonts w:ascii="Cambria" w:eastAsia="Times New Roman" w:hAnsi="Cambria" w:cs="Calibri"/>
                <w:sz w:val="20"/>
                <w:szCs w:val="20"/>
                <w:lang w:eastAsia="es-CR"/>
              </w:rPr>
              <w:t>.</w:t>
            </w:r>
          </w:p>
        </w:tc>
      </w:tr>
      <w:tr w:rsidR="00356493" w:rsidRPr="00266BAD" w14:paraId="0A75A7F4" w14:textId="77777777" w:rsidTr="00356493">
        <w:trPr>
          <w:trHeight w:val="1530"/>
        </w:trPr>
        <w:tc>
          <w:tcPr>
            <w:tcW w:w="1456" w:type="dxa"/>
            <w:shd w:val="clear" w:color="auto" w:fill="auto"/>
            <w:vAlign w:val="center"/>
            <w:hideMark/>
          </w:tcPr>
          <w:p w14:paraId="0A4FBFD3"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245-2020</w:t>
            </w:r>
          </w:p>
        </w:tc>
        <w:tc>
          <w:tcPr>
            <w:tcW w:w="8175" w:type="dxa"/>
            <w:shd w:val="clear" w:color="auto" w:fill="auto"/>
            <w:hideMark/>
          </w:tcPr>
          <w:p w14:paraId="307EC5C3"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 xml:space="preserve">Oficio 350-STGAJ-2020, de la Secretaría Técnica de Genero y Acceso a la Justicia, mediante el cual remiten informe 702-PLA-ES-2020, sobre variables sociodemográficas, en las diversas materias, para que desde esta jurisdicción se coadyuve en temas de inclusión de datos estadísticos por parte de los despachos judiciales. </w:t>
            </w:r>
          </w:p>
        </w:tc>
      </w:tr>
      <w:tr w:rsidR="00356493" w:rsidRPr="00266BAD" w14:paraId="3EC1398F" w14:textId="77777777" w:rsidTr="00356493">
        <w:trPr>
          <w:trHeight w:val="1800"/>
        </w:trPr>
        <w:tc>
          <w:tcPr>
            <w:tcW w:w="1456" w:type="dxa"/>
            <w:shd w:val="clear" w:color="auto" w:fill="auto"/>
            <w:vAlign w:val="center"/>
            <w:hideMark/>
          </w:tcPr>
          <w:p w14:paraId="5EB8F482"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260-2020</w:t>
            </w:r>
          </w:p>
        </w:tc>
        <w:tc>
          <w:tcPr>
            <w:tcW w:w="8175" w:type="dxa"/>
            <w:shd w:val="clear" w:color="auto" w:fill="auto"/>
            <w:hideMark/>
          </w:tcPr>
          <w:p w14:paraId="78891A41"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1892-PLA-MI-OI-2020, de la Dirección de Planificación, mediante el cual remite el informe relacionado con el abordaje realizado a las oficinas de Flagrancia del Primer y Segundo Circuito Judicial de San José (Defensa Pública – Ministerio Público – Judicatura</w:t>
            </w:r>
            <w:r>
              <w:rPr>
                <w:rFonts w:ascii="Cambria" w:eastAsia="Times New Roman" w:hAnsi="Cambria" w:cs="Calibri"/>
                <w:sz w:val="20"/>
                <w:szCs w:val="20"/>
                <w:lang w:eastAsia="es-CR"/>
              </w:rPr>
              <w:t>).</w:t>
            </w:r>
            <w:r w:rsidRPr="00266BAD">
              <w:rPr>
                <w:rFonts w:ascii="Cambria" w:eastAsia="Times New Roman" w:hAnsi="Cambria" w:cs="Calibri"/>
                <w:sz w:val="20"/>
                <w:szCs w:val="20"/>
                <w:lang w:eastAsia="es-CR"/>
              </w:rPr>
              <w:t xml:space="preserve"> el 26-11-2020</w:t>
            </w:r>
          </w:p>
        </w:tc>
      </w:tr>
      <w:tr w:rsidR="00356493" w:rsidRPr="00266BAD" w14:paraId="4D9896EF" w14:textId="77777777" w:rsidTr="00356493">
        <w:trPr>
          <w:trHeight w:val="1800"/>
        </w:trPr>
        <w:tc>
          <w:tcPr>
            <w:tcW w:w="1456" w:type="dxa"/>
            <w:shd w:val="clear" w:color="auto" w:fill="auto"/>
            <w:vAlign w:val="center"/>
            <w:hideMark/>
          </w:tcPr>
          <w:p w14:paraId="15C9E5DD" w14:textId="77777777" w:rsidR="00356493" w:rsidRPr="00266BAD" w:rsidRDefault="00356493" w:rsidP="00356493">
            <w:pPr>
              <w:spacing w:after="0" w:line="240" w:lineRule="auto"/>
              <w:jc w:val="center"/>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261-2020</w:t>
            </w:r>
          </w:p>
        </w:tc>
        <w:tc>
          <w:tcPr>
            <w:tcW w:w="8175" w:type="dxa"/>
            <w:shd w:val="clear" w:color="auto" w:fill="auto"/>
            <w:hideMark/>
          </w:tcPr>
          <w:p w14:paraId="7D840AA0" w14:textId="77777777" w:rsidR="00356493" w:rsidRPr="00266BAD" w:rsidRDefault="00356493" w:rsidP="00356493">
            <w:pPr>
              <w:spacing w:after="0" w:line="240" w:lineRule="auto"/>
              <w:jc w:val="both"/>
              <w:rPr>
                <w:rFonts w:ascii="Cambria" w:eastAsia="Times New Roman" w:hAnsi="Cambria" w:cs="Calibri"/>
                <w:sz w:val="20"/>
                <w:szCs w:val="20"/>
                <w:lang w:eastAsia="es-CR"/>
              </w:rPr>
            </w:pPr>
            <w:r w:rsidRPr="00266BAD">
              <w:rPr>
                <w:rFonts w:ascii="Cambria" w:eastAsia="Times New Roman" w:hAnsi="Cambria" w:cs="Calibri"/>
                <w:sz w:val="20"/>
                <w:szCs w:val="20"/>
                <w:lang w:eastAsia="es-CR"/>
              </w:rPr>
              <w:t>Oficio 1935-PLA-EV-2020, de la Dirección de Planificación, mediante el cual remiten el informe relacionado con la propuesta de las secciones de Flagrancia para realizar juicios durante el cierre colectivo 2020-2021</w:t>
            </w:r>
            <w:r>
              <w:rPr>
                <w:rFonts w:ascii="Cambria" w:eastAsia="Times New Roman" w:hAnsi="Cambria" w:cs="Calibri"/>
                <w:sz w:val="20"/>
                <w:szCs w:val="20"/>
                <w:lang w:eastAsia="es-CR"/>
              </w:rPr>
              <w:t>.</w:t>
            </w:r>
            <w:r w:rsidRPr="00266BAD">
              <w:rPr>
                <w:rFonts w:ascii="Cambria" w:eastAsia="Times New Roman" w:hAnsi="Cambria" w:cs="Calibri"/>
                <w:sz w:val="20"/>
                <w:szCs w:val="20"/>
                <w:lang w:eastAsia="es-CR"/>
              </w:rPr>
              <w:t xml:space="preserve"> </w:t>
            </w:r>
          </w:p>
        </w:tc>
      </w:tr>
    </w:tbl>
    <w:p w14:paraId="71E31D92" w14:textId="77777777" w:rsidR="00356493" w:rsidRPr="00BB53C0" w:rsidRDefault="00356493" w:rsidP="00356493">
      <w:pPr>
        <w:rPr>
          <w:rFonts w:ascii="Arial" w:hAnsi="Arial" w:cs="Arial"/>
          <w:lang w:val="es-ES"/>
        </w:rPr>
      </w:pPr>
    </w:p>
    <w:p w14:paraId="30F26692" w14:textId="77777777" w:rsidR="00356493" w:rsidRPr="00BB53C0" w:rsidRDefault="00356493" w:rsidP="00356493">
      <w:pPr>
        <w:rPr>
          <w:rFonts w:ascii="Arial" w:hAnsi="Arial" w:cs="Arial"/>
          <w:lang w:val="es-ES"/>
        </w:rPr>
      </w:pPr>
    </w:p>
    <w:p w14:paraId="5E55C4AE" w14:textId="77777777" w:rsidR="00356493" w:rsidRDefault="00356493" w:rsidP="00356493">
      <w:pPr>
        <w:jc w:val="both"/>
        <w:rPr>
          <w:rFonts w:ascii="Arial" w:hAnsi="Arial" w:cs="Arial"/>
          <w:lang w:val="es-ES"/>
        </w:rPr>
      </w:pPr>
      <w:r w:rsidRPr="00BB53C0">
        <w:rPr>
          <w:rFonts w:ascii="Arial" w:hAnsi="Arial" w:cs="Arial"/>
          <w:lang w:val="es-ES"/>
        </w:rPr>
        <w:t>Se giraron un total de 220 oficios</w:t>
      </w:r>
      <w:r>
        <w:rPr>
          <w:rFonts w:ascii="Arial" w:hAnsi="Arial" w:cs="Arial"/>
          <w:lang w:val="es-ES"/>
        </w:rPr>
        <w:t xml:space="preserve"> de respuesta, de los cuales se puede detallar como los más relevantes los siguientes 127 oficios a continuación:</w:t>
      </w:r>
    </w:p>
    <w:p w14:paraId="1B6738A8" w14:textId="77777777" w:rsidR="00356493" w:rsidRDefault="00356493" w:rsidP="00356493">
      <w:pPr>
        <w:rPr>
          <w:rFonts w:ascii="Arial" w:hAnsi="Arial" w:cs="Arial"/>
          <w:lang w:val="es-ES"/>
        </w:rPr>
      </w:pPr>
    </w:p>
    <w:tbl>
      <w:tblPr>
        <w:tblW w:w="9631" w:type="dxa"/>
        <w:tblCellMar>
          <w:left w:w="70" w:type="dxa"/>
          <w:right w:w="70" w:type="dxa"/>
        </w:tblCellMar>
        <w:tblLook w:val="04A0" w:firstRow="1" w:lastRow="0" w:firstColumn="1" w:lastColumn="0" w:noHBand="0" w:noVBand="1"/>
      </w:tblPr>
      <w:tblGrid>
        <w:gridCol w:w="1914"/>
        <w:gridCol w:w="778"/>
        <w:gridCol w:w="7307"/>
      </w:tblGrid>
      <w:tr w:rsidR="00356493" w:rsidRPr="007D27D6" w14:paraId="05DB868C" w14:textId="77777777" w:rsidTr="00356493">
        <w:trPr>
          <w:trHeight w:val="375"/>
        </w:trPr>
        <w:tc>
          <w:tcPr>
            <w:tcW w:w="1636" w:type="dxa"/>
            <w:tcBorders>
              <w:top w:val="single" w:sz="8" w:space="0" w:color="auto"/>
              <w:left w:val="single" w:sz="8" w:space="0" w:color="auto"/>
              <w:bottom w:val="single" w:sz="8" w:space="0" w:color="auto"/>
              <w:right w:val="single" w:sz="4" w:space="0" w:color="auto"/>
            </w:tcBorders>
            <w:shd w:val="clear" w:color="auto" w:fill="548DD4" w:themeFill="text2" w:themeFillTint="99"/>
            <w:noWrap/>
            <w:vAlign w:val="center"/>
            <w:hideMark/>
          </w:tcPr>
          <w:p w14:paraId="61F538A8" w14:textId="77777777" w:rsidR="00356493" w:rsidRPr="00B272C9" w:rsidRDefault="00356493" w:rsidP="00356493">
            <w:pPr>
              <w:spacing w:after="0" w:line="240" w:lineRule="auto"/>
              <w:jc w:val="center"/>
              <w:rPr>
                <w:rFonts w:ascii="Arial" w:eastAsia="Times New Roman" w:hAnsi="Arial" w:cs="Arial"/>
                <w:b/>
                <w:bCs/>
                <w:color w:val="000000"/>
                <w:sz w:val="28"/>
                <w:szCs w:val="28"/>
                <w:lang w:eastAsia="es-CR"/>
              </w:rPr>
            </w:pPr>
            <w:bookmarkStart w:id="47" w:name="RANGE!A1:E233"/>
            <w:r w:rsidRPr="00B272C9">
              <w:rPr>
                <w:rFonts w:ascii="Arial" w:eastAsia="Times New Roman" w:hAnsi="Arial" w:cs="Arial"/>
                <w:b/>
                <w:bCs/>
                <w:color w:val="000000"/>
                <w:sz w:val="28"/>
                <w:szCs w:val="28"/>
                <w:lang w:eastAsia="es-CR"/>
              </w:rPr>
              <w:t>Consecutivo:</w:t>
            </w:r>
            <w:bookmarkEnd w:id="47"/>
          </w:p>
        </w:tc>
        <w:tc>
          <w:tcPr>
            <w:tcW w:w="688" w:type="dxa"/>
            <w:tcBorders>
              <w:top w:val="single" w:sz="8" w:space="0" w:color="auto"/>
              <w:left w:val="nil"/>
              <w:bottom w:val="single" w:sz="8" w:space="0" w:color="auto"/>
              <w:right w:val="single" w:sz="4" w:space="0" w:color="auto"/>
            </w:tcBorders>
            <w:shd w:val="clear" w:color="auto" w:fill="548DD4" w:themeFill="text2" w:themeFillTint="99"/>
            <w:noWrap/>
            <w:vAlign w:val="center"/>
            <w:hideMark/>
          </w:tcPr>
          <w:p w14:paraId="178B64A4" w14:textId="77777777" w:rsidR="00356493" w:rsidRPr="00B272C9" w:rsidRDefault="00356493" w:rsidP="00356493">
            <w:pPr>
              <w:spacing w:after="0" w:line="240" w:lineRule="auto"/>
              <w:jc w:val="center"/>
              <w:rPr>
                <w:rFonts w:ascii="Arial" w:eastAsia="Times New Roman" w:hAnsi="Arial" w:cs="Arial"/>
                <w:b/>
                <w:bCs/>
                <w:color w:val="000000"/>
                <w:sz w:val="28"/>
                <w:szCs w:val="28"/>
                <w:lang w:eastAsia="es-CR"/>
              </w:rPr>
            </w:pPr>
            <w:r w:rsidRPr="00B272C9">
              <w:rPr>
                <w:rFonts w:ascii="Arial" w:eastAsia="Times New Roman" w:hAnsi="Arial" w:cs="Arial"/>
                <w:b/>
                <w:bCs/>
                <w:color w:val="000000"/>
                <w:sz w:val="28"/>
                <w:szCs w:val="28"/>
                <w:lang w:eastAsia="es-CR"/>
              </w:rPr>
              <w:t>Año:</w:t>
            </w:r>
          </w:p>
        </w:tc>
        <w:tc>
          <w:tcPr>
            <w:tcW w:w="7307" w:type="dxa"/>
            <w:tcBorders>
              <w:top w:val="single" w:sz="8" w:space="0" w:color="auto"/>
              <w:left w:val="single" w:sz="4" w:space="0" w:color="auto"/>
              <w:bottom w:val="single" w:sz="8" w:space="0" w:color="auto"/>
              <w:right w:val="single" w:sz="8" w:space="0" w:color="auto"/>
            </w:tcBorders>
            <w:shd w:val="clear" w:color="auto" w:fill="548DD4" w:themeFill="text2" w:themeFillTint="99"/>
            <w:noWrap/>
            <w:vAlign w:val="center"/>
            <w:hideMark/>
          </w:tcPr>
          <w:p w14:paraId="59A0B8B9" w14:textId="77777777" w:rsidR="00356493" w:rsidRPr="00B272C9" w:rsidRDefault="00356493" w:rsidP="00356493">
            <w:pPr>
              <w:spacing w:after="0" w:line="240" w:lineRule="auto"/>
              <w:jc w:val="center"/>
              <w:rPr>
                <w:rFonts w:ascii="Arial" w:eastAsia="Times New Roman" w:hAnsi="Arial" w:cs="Arial"/>
                <w:b/>
                <w:bCs/>
                <w:color w:val="000000"/>
                <w:sz w:val="28"/>
                <w:szCs w:val="28"/>
                <w:lang w:eastAsia="es-CR"/>
              </w:rPr>
            </w:pPr>
            <w:r>
              <w:rPr>
                <w:rFonts w:ascii="Arial" w:eastAsia="Times New Roman" w:hAnsi="Arial" w:cs="Arial"/>
                <w:b/>
                <w:bCs/>
                <w:color w:val="000000"/>
                <w:sz w:val="28"/>
                <w:szCs w:val="28"/>
                <w:lang w:eastAsia="es-CR"/>
              </w:rPr>
              <w:t>Detalle</w:t>
            </w:r>
          </w:p>
        </w:tc>
      </w:tr>
      <w:tr w:rsidR="00356493" w:rsidRPr="007D27D6" w14:paraId="389D47E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1C56D9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CJP001</w:t>
            </w:r>
          </w:p>
        </w:tc>
        <w:tc>
          <w:tcPr>
            <w:tcW w:w="688" w:type="dxa"/>
            <w:tcBorders>
              <w:top w:val="nil"/>
              <w:left w:val="nil"/>
              <w:bottom w:val="single" w:sz="4" w:space="0" w:color="auto"/>
              <w:right w:val="single" w:sz="4" w:space="0" w:color="auto"/>
            </w:tcBorders>
            <w:shd w:val="clear" w:color="auto" w:fill="auto"/>
            <w:noWrap/>
            <w:vAlign w:val="center"/>
            <w:hideMark/>
          </w:tcPr>
          <w:p w14:paraId="1E09432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462AD3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08-2019, Propuesta de circular al respecto de Criterio de la Comisión sobre registro de mandamientos en el registro electrónico por el Ministerio Público</w:t>
            </w:r>
          </w:p>
        </w:tc>
      </w:tr>
      <w:tr w:rsidR="00356493" w:rsidRPr="007D27D6" w14:paraId="57B4A6C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4DCC9C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CJP003</w:t>
            </w:r>
          </w:p>
        </w:tc>
        <w:tc>
          <w:tcPr>
            <w:tcW w:w="688" w:type="dxa"/>
            <w:tcBorders>
              <w:top w:val="nil"/>
              <w:left w:val="nil"/>
              <w:bottom w:val="single" w:sz="4" w:space="0" w:color="auto"/>
              <w:right w:val="single" w:sz="4" w:space="0" w:color="auto"/>
            </w:tcBorders>
            <w:shd w:val="clear" w:color="auto" w:fill="auto"/>
            <w:noWrap/>
            <w:vAlign w:val="center"/>
            <w:hideMark/>
          </w:tcPr>
          <w:p w14:paraId="2535B51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871902C"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Criterio de la comisión sobre el dictado de la sentencia oral, si es necesario que este el Tribunal debidamente integrado.</w:t>
            </w:r>
          </w:p>
        </w:tc>
      </w:tr>
      <w:tr w:rsidR="00356493" w:rsidRPr="007D27D6" w14:paraId="07F2BCC1"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86EDC0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CJP004</w:t>
            </w:r>
          </w:p>
        </w:tc>
        <w:tc>
          <w:tcPr>
            <w:tcW w:w="688" w:type="dxa"/>
            <w:tcBorders>
              <w:top w:val="nil"/>
              <w:left w:val="nil"/>
              <w:bottom w:val="single" w:sz="4" w:space="0" w:color="auto"/>
              <w:right w:val="single" w:sz="4" w:space="0" w:color="auto"/>
            </w:tcBorders>
            <w:shd w:val="clear" w:color="auto" w:fill="auto"/>
            <w:noWrap/>
            <w:vAlign w:val="center"/>
            <w:hideMark/>
          </w:tcPr>
          <w:p w14:paraId="5FFB300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26DC386"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 Audiencias Masivas.</w:t>
            </w:r>
          </w:p>
        </w:tc>
      </w:tr>
      <w:tr w:rsidR="00356493" w:rsidRPr="007D27D6" w14:paraId="2E9DA51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640002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CJP006</w:t>
            </w:r>
          </w:p>
        </w:tc>
        <w:tc>
          <w:tcPr>
            <w:tcW w:w="688" w:type="dxa"/>
            <w:tcBorders>
              <w:top w:val="nil"/>
              <w:left w:val="nil"/>
              <w:bottom w:val="single" w:sz="4" w:space="0" w:color="auto"/>
              <w:right w:val="single" w:sz="4" w:space="0" w:color="auto"/>
            </w:tcBorders>
            <w:shd w:val="clear" w:color="auto" w:fill="auto"/>
            <w:noWrap/>
            <w:vAlign w:val="center"/>
            <w:hideMark/>
          </w:tcPr>
          <w:p w14:paraId="60516E1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EF9577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 la elaboración de un modelo del indicador para permitir medir el cumplimiento de las políticas institucionales en el ejercicio de derechos de las personas menores de edad víctimas.</w:t>
            </w:r>
          </w:p>
        </w:tc>
      </w:tr>
      <w:tr w:rsidR="00356493" w:rsidRPr="007D27D6" w14:paraId="68292EB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0D3E91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CJP007</w:t>
            </w:r>
          </w:p>
        </w:tc>
        <w:tc>
          <w:tcPr>
            <w:tcW w:w="688" w:type="dxa"/>
            <w:tcBorders>
              <w:top w:val="nil"/>
              <w:left w:val="nil"/>
              <w:bottom w:val="single" w:sz="4" w:space="0" w:color="auto"/>
              <w:right w:val="single" w:sz="4" w:space="0" w:color="auto"/>
            </w:tcBorders>
            <w:shd w:val="clear" w:color="auto" w:fill="auto"/>
            <w:noWrap/>
            <w:vAlign w:val="center"/>
            <w:hideMark/>
          </w:tcPr>
          <w:p w14:paraId="0CA1902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D24645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estadístico sobre los homicidios dolosos ocurridos en el quinquenio 2014-2018.</w:t>
            </w:r>
          </w:p>
        </w:tc>
      </w:tr>
      <w:tr w:rsidR="00356493" w:rsidRPr="007D27D6" w14:paraId="049E2E1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EF24AF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CJP008</w:t>
            </w:r>
          </w:p>
        </w:tc>
        <w:tc>
          <w:tcPr>
            <w:tcW w:w="688" w:type="dxa"/>
            <w:tcBorders>
              <w:top w:val="nil"/>
              <w:left w:val="nil"/>
              <w:bottom w:val="single" w:sz="4" w:space="0" w:color="auto"/>
              <w:right w:val="single" w:sz="4" w:space="0" w:color="auto"/>
            </w:tcBorders>
            <w:shd w:val="clear" w:color="auto" w:fill="auto"/>
            <w:noWrap/>
            <w:vAlign w:val="center"/>
            <w:hideMark/>
          </w:tcPr>
          <w:p w14:paraId="0033DFA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118847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relacionado con los movimientos en los juzgados de ejecución de la pena en materia de adulto</w:t>
            </w:r>
          </w:p>
        </w:tc>
      </w:tr>
      <w:tr w:rsidR="00356493" w:rsidRPr="007D27D6" w14:paraId="632E965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35BB37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CJP012</w:t>
            </w:r>
          </w:p>
        </w:tc>
        <w:tc>
          <w:tcPr>
            <w:tcW w:w="688" w:type="dxa"/>
            <w:tcBorders>
              <w:top w:val="nil"/>
              <w:left w:val="nil"/>
              <w:bottom w:val="single" w:sz="4" w:space="0" w:color="auto"/>
              <w:right w:val="single" w:sz="4" w:space="0" w:color="auto"/>
            </w:tcBorders>
            <w:shd w:val="clear" w:color="auto" w:fill="auto"/>
            <w:noWrap/>
            <w:vAlign w:val="center"/>
            <w:hideMark/>
          </w:tcPr>
          <w:p w14:paraId="300117D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4FCD97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estadístico sobre muertes de mujeres por razones de género al marco de la Ley de Penalización de Violencia contra la Mujer y la Convención Belém do Pará, correspondiente al quinquenio 2017-2018.</w:t>
            </w:r>
          </w:p>
        </w:tc>
      </w:tr>
      <w:tr w:rsidR="00356493" w:rsidRPr="007D27D6" w14:paraId="4BF4F99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D49B29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CJP013</w:t>
            </w:r>
          </w:p>
        </w:tc>
        <w:tc>
          <w:tcPr>
            <w:tcW w:w="688" w:type="dxa"/>
            <w:tcBorders>
              <w:top w:val="nil"/>
              <w:left w:val="nil"/>
              <w:bottom w:val="single" w:sz="4" w:space="0" w:color="auto"/>
              <w:right w:val="single" w:sz="4" w:space="0" w:color="auto"/>
            </w:tcBorders>
            <w:shd w:val="clear" w:color="auto" w:fill="auto"/>
            <w:noWrap/>
            <w:vAlign w:val="center"/>
            <w:hideMark/>
          </w:tcPr>
          <w:p w14:paraId="5F5411E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740CC9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Designación de un representante para integrar en la CONAPDIS</w:t>
            </w:r>
          </w:p>
        </w:tc>
      </w:tr>
      <w:tr w:rsidR="00356493" w:rsidRPr="007D27D6" w14:paraId="0731C73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0172B8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CJP014</w:t>
            </w:r>
          </w:p>
        </w:tc>
        <w:tc>
          <w:tcPr>
            <w:tcW w:w="688" w:type="dxa"/>
            <w:tcBorders>
              <w:top w:val="nil"/>
              <w:left w:val="nil"/>
              <w:bottom w:val="single" w:sz="4" w:space="0" w:color="auto"/>
              <w:right w:val="single" w:sz="4" w:space="0" w:color="auto"/>
            </w:tcBorders>
            <w:shd w:val="clear" w:color="auto" w:fill="auto"/>
            <w:noWrap/>
            <w:vAlign w:val="center"/>
            <w:hideMark/>
          </w:tcPr>
          <w:p w14:paraId="63EDE3E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84D43E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“Acciones para mejorar los resultados de la gestión del Centro de Conciliación del Poder Judicial y sus Sedes Regionales"</w:t>
            </w:r>
          </w:p>
        </w:tc>
      </w:tr>
      <w:tr w:rsidR="00356493" w:rsidRPr="007D27D6" w14:paraId="4B905C5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BB520F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CJP015</w:t>
            </w:r>
          </w:p>
        </w:tc>
        <w:tc>
          <w:tcPr>
            <w:tcW w:w="688" w:type="dxa"/>
            <w:tcBorders>
              <w:top w:val="nil"/>
              <w:left w:val="nil"/>
              <w:bottom w:val="single" w:sz="4" w:space="0" w:color="auto"/>
              <w:right w:val="single" w:sz="4" w:space="0" w:color="auto"/>
            </w:tcBorders>
            <w:shd w:val="clear" w:color="auto" w:fill="auto"/>
            <w:noWrap/>
            <w:vAlign w:val="center"/>
            <w:hideMark/>
          </w:tcPr>
          <w:p w14:paraId="0EBF5BB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E2EFC4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01-2020, Se toma nota del Protocolo de Cadena de Custodia en el Manejo de los Procesos Penales.</w:t>
            </w:r>
          </w:p>
        </w:tc>
      </w:tr>
      <w:tr w:rsidR="00356493" w:rsidRPr="007D27D6" w14:paraId="7EA3757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C32A8A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CJP016</w:t>
            </w:r>
          </w:p>
        </w:tc>
        <w:tc>
          <w:tcPr>
            <w:tcW w:w="688" w:type="dxa"/>
            <w:tcBorders>
              <w:top w:val="nil"/>
              <w:left w:val="nil"/>
              <w:bottom w:val="single" w:sz="4" w:space="0" w:color="auto"/>
              <w:right w:val="single" w:sz="4" w:space="0" w:color="auto"/>
            </w:tcBorders>
            <w:shd w:val="clear" w:color="auto" w:fill="auto"/>
            <w:noWrap/>
            <w:vAlign w:val="center"/>
            <w:hideMark/>
          </w:tcPr>
          <w:p w14:paraId="3E7CF9F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B8E56C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01-2020, Criterio de la Comisión sobre reducción de plazo de prescripción a la mitad en materia de accidentes y colisiones (transito)</w:t>
            </w:r>
          </w:p>
        </w:tc>
      </w:tr>
      <w:tr w:rsidR="00356493" w:rsidRPr="007D27D6" w14:paraId="1AA2AAD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FDE556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CJP025</w:t>
            </w:r>
          </w:p>
        </w:tc>
        <w:tc>
          <w:tcPr>
            <w:tcW w:w="688" w:type="dxa"/>
            <w:tcBorders>
              <w:top w:val="nil"/>
              <w:left w:val="nil"/>
              <w:bottom w:val="single" w:sz="4" w:space="0" w:color="auto"/>
              <w:right w:val="single" w:sz="4" w:space="0" w:color="auto"/>
            </w:tcBorders>
            <w:shd w:val="clear" w:color="auto" w:fill="auto"/>
            <w:noWrap/>
            <w:vAlign w:val="center"/>
            <w:hideMark/>
          </w:tcPr>
          <w:p w14:paraId="6F7E73E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130726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CASO LIMÓN, sobre acta de visita del Tribunal de la Inspección Judicial</w:t>
            </w:r>
          </w:p>
        </w:tc>
      </w:tr>
      <w:tr w:rsidR="00356493" w:rsidRPr="007D27D6" w14:paraId="3295B09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D80115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CJP026</w:t>
            </w:r>
          </w:p>
        </w:tc>
        <w:tc>
          <w:tcPr>
            <w:tcW w:w="688" w:type="dxa"/>
            <w:tcBorders>
              <w:top w:val="nil"/>
              <w:left w:val="nil"/>
              <w:bottom w:val="single" w:sz="4" w:space="0" w:color="auto"/>
              <w:right w:val="single" w:sz="4" w:space="0" w:color="auto"/>
            </w:tcBorders>
            <w:shd w:val="clear" w:color="auto" w:fill="auto"/>
            <w:noWrap/>
            <w:vAlign w:val="center"/>
            <w:hideMark/>
          </w:tcPr>
          <w:p w14:paraId="6526AC7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7B269E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CASO LIMÓN, sobre informe del Director del Despacho de la Presidencia acerca de las acciones tomadas en relación con el Tribunal de Juicio de Limón</w:t>
            </w:r>
          </w:p>
        </w:tc>
      </w:tr>
      <w:tr w:rsidR="00356493" w:rsidRPr="007D27D6" w14:paraId="244A47D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3A54DE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CJP027</w:t>
            </w:r>
          </w:p>
        </w:tc>
        <w:tc>
          <w:tcPr>
            <w:tcW w:w="688" w:type="dxa"/>
            <w:tcBorders>
              <w:top w:val="nil"/>
              <w:left w:val="nil"/>
              <w:bottom w:val="single" w:sz="4" w:space="0" w:color="auto"/>
              <w:right w:val="single" w:sz="4" w:space="0" w:color="auto"/>
            </w:tcBorders>
            <w:shd w:val="clear" w:color="auto" w:fill="auto"/>
            <w:noWrap/>
            <w:vAlign w:val="center"/>
            <w:hideMark/>
          </w:tcPr>
          <w:p w14:paraId="67A9783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B75E11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la conversión de días multas a días de prisión, caso de</w:t>
            </w:r>
          </w:p>
        </w:tc>
      </w:tr>
      <w:tr w:rsidR="00356493" w:rsidRPr="007D27D6" w14:paraId="3001EAD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0B3CED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CJP029</w:t>
            </w:r>
          </w:p>
        </w:tc>
        <w:tc>
          <w:tcPr>
            <w:tcW w:w="688" w:type="dxa"/>
            <w:tcBorders>
              <w:top w:val="nil"/>
              <w:left w:val="nil"/>
              <w:bottom w:val="single" w:sz="4" w:space="0" w:color="auto"/>
              <w:right w:val="single" w:sz="4" w:space="0" w:color="auto"/>
            </w:tcBorders>
            <w:shd w:val="clear" w:color="auto" w:fill="auto"/>
            <w:noWrap/>
            <w:vAlign w:val="center"/>
            <w:hideMark/>
          </w:tcPr>
          <w:p w14:paraId="1D11E02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1CFE7F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el la rogatoria de la Agencia de Protección de Datos de los Habitantes, para que informe inmediatamente al Centro Electrónico de Información de Jurisprudencia del Poder Judicial, sobre la recepción de denuncias sobre la existencia de datos sensibles.</w:t>
            </w:r>
          </w:p>
        </w:tc>
      </w:tr>
      <w:tr w:rsidR="00356493" w:rsidRPr="007D27D6" w14:paraId="5F736F1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49BB96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CJP030</w:t>
            </w:r>
          </w:p>
        </w:tc>
        <w:tc>
          <w:tcPr>
            <w:tcW w:w="688" w:type="dxa"/>
            <w:tcBorders>
              <w:top w:val="nil"/>
              <w:left w:val="nil"/>
              <w:bottom w:val="single" w:sz="4" w:space="0" w:color="auto"/>
              <w:right w:val="single" w:sz="4" w:space="0" w:color="auto"/>
            </w:tcBorders>
            <w:shd w:val="clear" w:color="auto" w:fill="auto"/>
            <w:noWrap/>
            <w:vAlign w:val="center"/>
            <w:hideMark/>
          </w:tcPr>
          <w:p w14:paraId="7523DF0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C302E76"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02-2020, Criterio de la Comisión sobre la duración del dictado de las sentencias orales en materia de Flagrancia.</w:t>
            </w:r>
          </w:p>
        </w:tc>
      </w:tr>
      <w:tr w:rsidR="00356493" w:rsidRPr="007D27D6" w14:paraId="51F11C1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A7A63F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CJP033</w:t>
            </w:r>
          </w:p>
        </w:tc>
        <w:tc>
          <w:tcPr>
            <w:tcW w:w="688" w:type="dxa"/>
            <w:tcBorders>
              <w:top w:val="nil"/>
              <w:left w:val="nil"/>
              <w:bottom w:val="single" w:sz="4" w:space="0" w:color="auto"/>
              <w:right w:val="single" w:sz="4" w:space="0" w:color="auto"/>
            </w:tcBorders>
            <w:shd w:val="clear" w:color="auto" w:fill="auto"/>
            <w:noWrap/>
            <w:vAlign w:val="center"/>
            <w:hideMark/>
          </w:tcPr>
          <w:p w14:paraId="74597F3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872AA0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Reiteración del criterio de la comisión oficio CJP228-2019 acceso al sistema SREM al Ministerio Público</w:t>
            </w:r>
          </w:p>
        </w:tc>
      </w:tr>
      <w:tr w:rsidR="00356493" w:rsidRPr="007D27D6" w14:paraId="367751F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9D07B6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CJP035</w:t>
            </w:r>
          </w:p>
        </w:tc>
        <w:tc>
          <w:tcPr>
            <w:tcW w:w="688" w:type="dxa"/>
            <w:tcBorders>
              <w:top w:val="nil"/>
              <w:left w:val="nil"/>
              <w:bottom w:val="single" w:sz="4" w:space="0" w:color="auto"/>
              <w:right w:val="single" w:sz="4" w:space="0" w:color="auto"/>
            </w:tcBorders>
            <w:shd w:val="clear" w:color="auto" w:fill="auto"/>
            <w:noWrap/>
            <w:vAlign w:val="center"/>
            <w:hideMark/>
          </w:tcPr>
          <w:p w14:paraId="3E19C88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E2D99E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9870-19 de Corte Plena, sobre la visita del Tribunal de la Inspección Judicial, al Juzgado Mixto de Sarapiquí.</w:t>
            </w:r>
          </w:p>
        </w:tc>
      </w:tr>
      <w:tr w:rsidR="00356493" w:rsidRPr="007D27D6" w14:paraId="212644B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A8F8EF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CJP036</w:t>
            </w:r>
          </w:p>
        </w:tc>
        <w:tc>
          <w:tcPr>
            <w:tcW w:w="688" w:type="dxa"/>
            <w:tcBorders>
              <w:top w:val="nil"/>
              <w:left w:val="nil"/>
              <w:bottom w:val="single" w:sz="4" w:space="0" w:color="auto"/>
              <w:right w:val="single" w:sz="4" w:space="0" w:color="auto"/>
            </w:tcBorders>
            <w:shd w:val="clear" w:color="auto" w:fill="auto"/>
            <w:noWrap/>
            <w:vAlign w:val="center"/>
            <w:hideMark/>
          </w:tcPr>
          <w:p w14:paraId="106BD88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45F254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1334-PLA-MI-2019 sobre la citación de imputados y testigos dentro del proceso contravencional.</w:t>
            </w:r>
          </w:p>
        </w:tc>
      </w:tr>
      <w:tr w:rsidR="00356493" w:rsidRPr="007D27D6" w14:paraId="0875F1EF"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42759E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CJP037</w:t>
            </w:r>
          </w:p>
        </w:tc>
        <w:tc>
          <w:tcPr>
            <w:tcW w:w="688" w:type="dxa"/>
            <w:tcBorders>
              <w:top w:val="nil"/>
              <w:left w:val="nil"/>
              <w:bottom w:val="single" w:sz="4" w:space="0" w:color="auto"/>
              <w:right w:val="single" w:sz="4" w:space="0" w:color="auto"/>
            </w:tcBorders>
            <w:shd w:val="clear" w:color="auto" w:fill="auto"/>
            <w:noWrap/>
            <w:vAlign w:val="center"/>
            <w:hideMark/>
          </w:tcPr>
          <w:p w14:paraId="04B1C87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3636DB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9697-19 del Consejo Superior, sobre la gestión de las Fiscalías del Ministerio Público durante el 2018.</w:t>
            </w:r>
          </w:p>
        </w:tc>
      </w:tr>
      <w:tr w:rsidR="00356493" w:rsidRPr="007D27D6" w14:paraId="3583EE0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FCF247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CJP038</w:t>
            </w:r>
          </w:p>
        </w:tc>
        <w:tc>
          <w:tcPr>
            <w:tcW w:w="688" w:type="dxa"/>
            <w:tcBorders>
              <w:top w:val="nil"/>
              <w:left w:val="nil"/>
              <w:bottom w:val="single" w:sz="4" w:space="0" w:color="auto"/>
              <w:right w:val="single" w:sz="4" w:space="0" w:color="auto"/>
            </w:tcBorders>
            <w:shd w:val="clear" w:color="auto" w:fill="auto"/>
            <w:noWrap/>
            <w:vAlign w:val="center"/>
            <w:hideMark/>
          </w:tcPr>
          <w:p w14:paraId="38B7678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F0BDF5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02-CLP-2020, sobre la Ley de Penalización de Violencia contra las mujeres.</w:t>
            </w:r>
          </w:p>
        </w:tc>
      </w:tr>
      <w:tr w:rsidR="00356493" w:rsidRPr="007D27D6" w14:paraId="3770480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14EC80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CJP039</w:t>
            </w:r>
          </w:p>
        </w:tc>
        <w:tc>
          <w:tcPr>
            <w:tcW w:w="688" w:type="dxa"/>
            <w:tcBorders>
              <w:top w:val="nil"/>
              <w:left w:val="nil"/>
              <w:bottom w:val="single" w:sz="4" w:space="0" w:color="auto"/>
              <w:right w:val="single" w:sz="4" w:space="0" w:color="auto"/>
            </w:tcBorders>
            <w:shd w:val="clear" w:color="auto" w:fill="auto"/>
            <w:noWrap/>
            <w:vAlign w:val="center"/>
            <w:hideMark/>
          </w:tcPr>
          <w:p w14:paraId="665C6D5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2DB704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7704-19 del Consejo Superior, sobre las estadísticas sobre personas fallecidas en accidentes de tránsito en el período 2018</w:t>
            </w:r>
          </w:p>
        </w:tc>
      </w:tr>
      <w:tr w:rsidR="00356493" w:rsidRPr="007D27D6" w14:paraId="2728882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9886A1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CJP040</w:t>
            </w:r>
          </w:p>
        </w:tc>
        <w:tc>
          <w:tcPr>
            <w:tcW w:w="688" w:type="dxa"/>
            <w:tcBorders>
              <w:top w:val="nil"/>
              <w:left w:val="nil"/>
              <w:bottom w:val="single" w:sz="4" w:space="0" w:color="auto"/>
              <w:right w:val="single" w:sz="4" w:space="0" w:color="auto"/>
            </w:tcBorders>
            <w:shd w:val="clear" w:color="auto" w:fill="auto"/>
            <w:noWrap/>
            <w:vAlign w:val="center"/>
            <w:hideMark/>
          </w:tcPr>
          <w:p w14:paraId="315B0FF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D80F44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7733-19 del Consejo Superior, sobre la cantidad de homicidios culposos ocurridos en el período 2018.</w:t>
            </w:r>
          </w:p>
        </w:tc>
      </w:tr>
      <w:tr w:rsidR="00356493" w:rsidRPr="007D27D6" w14:paraId="5E5ED2B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8FB649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CJP041</w:t>
            </w:r>
          </w:p>
        </w:tc>
        <w:tc>
          <w:tcPr>
            <w:tcW w:w="688" w:type="dxa"/>
            <w:tcBorders>
              <w:top w:val="nil"/>
              <w:left w:val="nil"/>
              <w:bottom w:val="single" w:sz="4" w:space="0" w:color="auto"/>
              <w:right w:val="single" w:sz="4" w:space="0" w:color="auto"/>
            </w:tcBorders>
            <w:shd w:val="clear" w:color="auto" w:fill="auto"/>
            <w:noWrap/>
            <w:vAlign w:val="center"/>
            <w:hideMark/>
          </w:tcPr>
          <w:p w14:paraId="3F4F697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48F0926"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9426-19 del Consejo Superior, sobre los suicidios ocurridos en el país en el período 2018 y que fueron atendidos por el O.I.J</w:t>
            </w:r>
          </w:p>
        </w:tc>
      </w:tr>
      <w:tr w:rsidR="00356493" w:rsidRPr="007D27D6" w14:paraId="6A69769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6C797F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CJP060</w:t>
            </w:r>
          </w:p>
        </w:tc>
        <w:tc>
          <w:tcPr>
            <w:tcW w:w="688" w:type="dxa"/>
            <w:tcBorders>
              <w:top w:val="nil"/>
              <w:left w:val="nil"/>
              <w:bottom w:val="single" w:sz="4" w:space="0" w:color="auto"/>
              <w:right w:val="single" w:sz="4" w:space="0" w:color="auto"/>
            </w:tcBorders>
            <w:shd w:val="clear" w:color="auto" w:fill="auto"/>
            <w:noWrap/>
            <w:vAlign w:val="center"/>
            <w:hideMark/>
          </w:tcPr>
          <w:p w14:paraId="621EC45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15FFC9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Reitera el criterio de la Comisión al respecto de la designación de los defensores públicos en materia de contravenciones</w:t>
            </w:r>
          </w:p>
        </w:tc>
      </w:tr>
      <w:tr w:rsidR="00356493" w:rsidRPr="007D27D6" w14:paraId="3EA9592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AF8050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CJP061</w:t>
            </w:r>
          </w:p>
        </w:tc>
        <w:tc>
          <w:tcPr>
            <w:tcW w:w="688" w:type="dxa"/>
            <w:tcBorders>
              <w:top w:val="nil"/>
              <w:left w:val="nil"/>
              <w:bottom w:val="single" w:sz="4" w:space="0" w:color="auto"/>
              <w:right w:val="single" w:sz="4" w:space="0" w:color="auto"/>
            </w:tcBorders>
            <w:shd w:val="clear" w:color="auto" w:fill="auto"/>
            <w:noWrap/>
            <w:vAlign w:val="center"/>
            <w:hideMark/>
          </w:tcPr>
          <w:p w14:paraId="47E5CCE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5F1F74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Respuesta de la Comisión acerca del proyecto denominado Resolución sobre el trámite de los mandamientos judiciales.</w:t>
            </w:r>
          </w:p>
        </w:tc>
      </w:tr>
      <w:tr w:rsidR="00356493" w:rsidRPr="007D27D6" w14:paraId="413B99F5"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1CF1E7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CJP062</w:t>
            </w:r>
          </w:p>
        </w:tc>
        <w:tc>
          <w:tcPr>
            <w:tcW w:w="688" w:type="dxa"/>
            <w:tcBorders>
              <w:top w:val="nil"/>
              <w:left w:val="nil"/>
              <w:bottom w:val="single" w:sz="4" w:space="0" w:color="auto"/>
              <w:right w:val="single" w:sz="4" w:space="0" w:color="auto"/>
            </w:tcBorders>
            <w:shd w:val="clear" w:color="auto" w:fill="auto"/>
            <w:noWrap/>
            <w:vAlign w:val="center"/>
            <w:hideMark/>
          </w:tcPr>
          <w:p w14:paraId="01D1870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E35639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Reitera el criterio de la Comisión sobre la nueva etapa procesal a cargo del Centro de Resolución Alterna de Conflictos (RAC).</w:t>
            </w:r>
          </w:p>
        </w:tc>
      </w:tr>
      <w:tr w:rsidR="00356493" w:rsidRPr="007D27D6" w14:paraId="1B3FD388"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68E1DF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CJP066</w:t>
            </w:r>
          </w:p>
        </w:tc>
        <w:tc>
          <w:tcPr>
            <w:tcW w:w="688" w:type="dxa"/>
            <w:tcBorders>
              <w:top w:val="nil"/>
              <w:left w:val="nil"/>
              <w:bottom w:val="single" w:sz="4" w:space="0" w:color="auto"/>
              <w:right w:val="single" w:sz="4" w:space="0" w:color="auto"/>
            </w:tcBorders>
            <w:shd w:val="clear" w:color="auto" w:fill="auto"/>
            <w:noWrap/>
            <w:vAlign w:val="center"/>
            <w:hideMark/>
          </w:tcPr>
          <w:p w14:paraId="3520CEB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6A74CF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oficio 285-PLA-OI-2020, relativo al rediseño de procesos de la Sección de Flagrancia de Limón.</w:t>
            </w:r>
          </w:p>
        </w:tc>
      </w:tr>
      <w:tr w:rsidR="00356493" w:rsidRPr="007D27D6" w14:paraId="1BDBE31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AA2C64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CJP067</w:t>
            </w:r>
          </w:p>
        </w:tc>
        <w:tc>
          <w:tcPr>
            <w:tcW w:w="688" w:type="dxa"/>
            <w:tcBorders>
              <w:top w:val="nil"/>
              <w:left w:val="nil"/>
              <w:bottom w:val="single" w:sz="4" w:space="0" w:color="auto"/>
              <w:right w:val="single" w:sz="4" w:space="0" w:color="auto"/>
            </w:tcBorders>
            <w:shd w:val="clear" w:color="auto" w:fill="auto"/>
            <w:noWrap/>
            <w:vAlign w:val="center"/>
            <w:hideMark/>
          </w:tcPr>
          <w:p w14:paraId="519E2CC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C296A3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oficio 1573-PLA-OI-2019, relativo al estudio para la modificación de las plantillas de los formatos de denuncia genérica .</w:t>
            </w:r>
          </w:p>
        </w:tc>
      </w:tr>
      <w:tr w:rsidR="00356493" w:rsidRPr="007D27D6" w14:paraId="4E2D7C2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DA2FA6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CJP068</w:t>
            </w:r>
          </w:p>
        </w:tc>
        <w:tc>
          <w:tcPr>
            <w:tcW w:w="688" w:type="dxa"/>
            <w:tcBorders>
              <w:top w:val="nil"/>
              <w:left w:val="nil"/>
              <w:bottom w:val="single" w:sz="4" w:space="0" w:color="auto"/>
              <w:right w:val="single" w:sz="4" w:space="0" w:color="auto"/>
            </w:tcBorders>
            <w:shd w:val="clear" w:color="auto" w:fill="auto"/>
            <w:noWrap/>
            <w:vAlign w:val="center"/>
            <w:hideMark/>
          </w:tcPr>
          <w:p w14:paraId="506C816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DAE2E2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oficio DVV-S1-024-2020, sobre otorgar viáticos a los usuarios que requieren ayuda económica de las poblaciones indígenas.</w:t>
            </w:r>
          </w:p>
        </w:tc>
      </w:tr>
      <w:tr w:rsidR="00356493" w:rsidRPr="007D27D6" w14:paraId="6081549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201239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CJP069</w:t>
            </w:r>
          </w:p>
        </w:tc>
        <w:tc>
          <w:tcPr>
            <w:tcW w:w="688" w:type="dxa"/>
            <w:tcBorders>
              <w:top w:val="nil"/>
              <w:left w:val="nil"/>
              <w:bottom w:val="single" w:sz="4" w:space="0" w:color="auto"/>
              <w:right w:val="single" w:sz="4" w:space="0" w:color="auto"/>
            </w:tcBorders>
            <w:shd w:val="clear" w:color="auto" w:fill="auto"/>
            <w:noWrap/>
            <w:vAlign w:val="center"/>
            <w:hideMark/>
          </w:tcPr>
          <w:p w14:paraId="40BFF50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F281A3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oficio 1570-PLA-ES-2019, sobre personas detenidas a la orden de los juzgados y tribunales penales al finalizar el 2018</w:t>
            </w:r>
          </w:p>
        </w:tc>
      </w:tr>
      <w:tr w:rsidR="00356493" w:rsidRPr="007D27D6" w14:paraId="68AA554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C9704B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CJP070</w:t>
            </w:r>
          </w:p>
        </w:tc>
        <w:tc>
          <w:tcPr>
            <w:tcW w:w="688" w:type="dxa"/>
            <w:tcBorders>
              <w:top w:val="nil"/>
              <w:left w:val="nil"/>
              <w:bottom w:val="single" w:sz="4" w:space="0" w:color="auto"/>
              <w:right w:val="single" w:sz="4" w:space="0" w:color="auto"/>
            </w:tcBorders>
            <w:shd w:val="clear" w:color="auto" w:fill="auto"/>
            <w:noWrap/>
            <w:vAlign w:val="center"/>
            <w:hideMark/>
          </w:tcPr>
          <w:p w14:paraId="289BB9F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93B07E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el plazo para presentación ante la autoridad judicial la documentación de localización del O.I.J.</w:t>
            </w:r>
          </w:p>
        </w:tc>
      </w:tr>
      <w:tr w:rsidR="00356493" w:rsidRPr="007D27D6" w14:paraId="5AD209D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997298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CJP073</w:t>
            </w:r>
          </w:p>
        </w:tc>
        <w:tc>
          <w:tcPr>
            <w:tcW w:w="688" w:type="dxa"/>
            <w:tcBorders>
              <w:top w:val="nil"/>
              <w:left w:val="nil"/>
              <w:bottom w:val="single" w:sz="4" w:space="0" w:color="auto"/>
              <w:right w:val="single" w:sz="4" w:space="0" w:color="auto"/>
            </w:tcBorders>
            <w:shd w:val="clear" w:color="auto" w:fill="auto"/>
            <w:noWrap/>
            <w:vAlign w:val="center"/>
            <w:hideMark/>
          </w:tcPr>
          <w:p w14:paraId="6721604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67893F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 reitera el criterio de la Comisión en el oficio CJP069-2020.</w:t>
            </w:r>
          </w:p>
        </w:tc>
      </w:tr>
      <w:tr w:rsidR="00356493" w:rsidRPr="007D27D6" w14:paraId="2F4B227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6D0F23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CJP078</w:t>
            </w:r>
          </w:p>
        </w:tc>
        <w:tc>
          <w:tcPr>
            <w:tcW w:w="688" w:type="dxa"/>
            <w:tcBorders>
              <w:top w:val="nil"/>
              <w:left w:val="nil"/>
              <w:bottom w:val="single" w:sz="4" w:space="0" w:color="auto"/>
              <w:right w:val="single" w:sz="4" w:space="0" w:color="auto"/>
            </w:tcBorders>
            <w:shd w:val="clear" w:color="auto" w:fill="auto"/>
            <w:noWrap/>
            <w:vAlign w:val="center"/>
            <w:hideMark/>
          </w:tcPr>
          <w:p w14:paraId="58E8479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210885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señalamiento de anticipo jurisdiccional de prueba con persona detenida y un señalamiento con delitos por prescribir.</w:t>
            </w:r>
          </w:p>
        </w:tc>
      </w:tr>
      <w:tr w:rsidR="00356493" w:rsidRPr="007D27D6" w14:paraId="35C155BF"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075CCD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CJP079</w:t>
            </w:r>
          </w:p>
        </w:tc>
        <w:tc>
          <w:tcPr>
            <w:tcW w:w="688" w:type="dxa"/>
            <w:tcBorders>
              <w:top w:val="nil"/>
              <w:left w:val="nil"/>
              <w:bottom w:val="single" w:sz="4" w:space="0" w:color="auto"/>
              <w:right w:val="single" w:sz="4" w:space="0" w:color="auto"/>
            </w:tcBorders>
            <w:shd w:val="clear" w:color="auto" w:fill="auto"/>
            <w:noWrap/>
            <w:vAlign w:val="center"/>
            <w:hideMark/>
          </w:tcPr>
          <w:p w14:paraId="723FB13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07D661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movimientos de trabajo de los juzgados penales durante el 2018.</w:t>
            </w:r>
          </w:p>
        </w:tc>
      </w:tr>
      <w:tr w:rsidR="00356493" w:rsidRPr="007D27D6" w14:paraId="459DC0E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503435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CJP080</w:t>
            </w:r>
          </w:p>
        </w:tc>
        <w:tc>
          <w:tcPr>
            <w:tcW w:w="688" w:type="dxa"/>
            <w:tcBorders>
              <w:top w:val="nil"/>
              <w:left w:val="nil"/>
              <w:bottom w:val="single" w:sz="4" w:space="0" w:color="auto"/>
              <w:right w:val="single" w:sz="4" w:space="0" w:color="auto"/>
            </w:tcBorders>
            <w:shd w:val="clear" w:color="auto" w:fill="auto"/>
            <w:noWrap/>
            <w:vAlign w:val="center"/>
            <w:hideMark/>
          </w:tcPr>
          <w:p w14:paraId="793C7C2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0750DC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1534-PLA-ES-2019, sobre el análisis estadístico de las personas sentenciadas en los tribunales penales durante el 2018.</w:t>
            </w:r>
          </w:p>
        </w:tc>
      </w:tr>
      <w:tr w:rsidR="00356493" w:rsidRPr="007D27D6" w14:paraId="5561749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FFDB68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CJP081</w:t>
            </w:r>
          </w:p>
        </w:tc>
        <w:tc>
          <w:tcPr>
            <w:tcW w:w="688" w:type="dxa"/>
            <w:tcBorders>
              <w:top w:val="nil"/>
              <w:left w:val="nil"/>
              <w:bottom w:val="single" w:sz="4" w:space="0" w:color="auto"/>
              <w:right w:val="single" w:sz="4" w:space="0" w:color="auto"/>
            </w:tcBorders>
            <w:shd w:val="clear" w:color="auto" w:fill="auto"/>
            <w:noWrap/>
            <w:vAlign w:val="center"/>
            <w:hideMark/>
          </w:tcPr>
          <w:p w14:paraId="534F5E3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6DF08C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2204-PLA-OI-2019, sobre el taller de presentación del modelo de tramitación de los tribunales penales.</w:t>
            </w:r>
          </w:p>
        </w:tc>
      </w:tr>
      <w:tr w:rsidR="00356493" w:rsidRPr="007D27D6" w14:paraId="075F69F8"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6C3AA9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CJP082</w:t>
            </w:r>
          </w:p>
        </w:tc>
        <w:tc>
          <w:tcPr>
            <w:tcW w:w="688" w:type="dxa"/>
            <w:tcBorders>
              <w:top w:val="nil"/>
              <w:left w:val="nil"/>
              <w:bottom w:val="single" w:sz="4" w:space="0" w:color="auto"/>
              <w:right w:val="single" w:sz="4" w:space="0" w:color="auto"/>
            </w:tcBorders>
            <w:shd w:val="clear" w:color="auto" w:fill="auto"/>
            <w:noWrap/>
            <w:vAlign w:val="center"/>
            <w:hideMark/>
          </w:tcPr>
          <w:p w14:paraId="6B7335F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DEB4FC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60-PLA-EV-2020 relativo al seguimiento realizado al proyecto de mejoramiento del Juzgado Penal de Santa Cruz.</w:t>
            </w:r>
          </w:p>
        </w:tc>
      </w:tr>
      <w:tr w:rsidR="00356493" w:rsidRPr="007D27D6" w14:paraId="59CAD80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271142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CJP083</w:t>
            </w:r>
          </w:p>
        </w:tc>
        <w:tc>
          <w:tcPr>
            <w:tcW w:w="688" w:type="dxa"/>
            <w:tcBorders>
              <w:top w:val="nil"/>
              <w:left w:val="nil"/>
              <w:bottom w:val="single" w:sz="4" w:space="0" w:color="auto"/>
              <w:right w:val="single" w:sz="4" w:space="0" w:color="auto"/>
            </w:tcBorders>
            <w:shd w:val="clear" w:color="auto" w:fill="auto"/>
            <w:noWrap/>
            <w:vAlign w:val="center"/>
            <w:hideMark/>
          </w:tcPr>
          <w:p w14:paraId="771FEE5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F068FE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1676-PLA-OI-2019 sobre el rediseño del proceso penal del Tribunal Penal de Sarapiquí.</w:t>
            </w:r>
          </w:p>
        </w:tc>
      </w:tr>
      <w:tr w:rsidR="00356493" w:rsidRPr="007D27D6" w14:paraId="7E6B4895"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5CF235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CJP084</w:t>
            </w:r>
          </w:p>
        </w:tc>
        <w:tc>
          <w:tcPr>
            <w:tcW w:w="688" w:type="dxa"/>
            <w:tcBorders>
              <w:top w:val="nil"/>
              <w:left w:val="nil"/>
              <w:bottom w:val="single" w:sz="4" w:space="0" w:color="auto"/>
              <w:right w:val="single" w:sz="4" w:space="0" w:color="auto"/>
            </w:tcBorders>
            <w:shd w:val="clear" w:color="auto" w:fill="auto"/>
            <w:noWrap/>
            <w:vAlign w:val="center"/>
            <w:hideMark/>
          </w:tcPr>
          <w:p w14:paraId="068CB34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EC6745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2174-PLA-ES-2019 sobre movimientos de trabajo del Juzgado de Ejecución de las Sanciones Penales Juveniles.</w:t>
            </w:r>
          </w:p>
        </w:tc>
      </w:tr>
      <w:tr w:rsidR="00356493" w:rsidRPr="007D27D6" w14:paraId="4DFBE02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4CC87C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CJP089</w:t>
            </w:r>
          </w:p>
        </w:tc>
        <w:tc>
          <w:tcPr>
            <w:tcW w:w="688" w:type="dxa"/>
            <w:tcBorders>
              <w:top w:val="nil"/>
              <w:left w:val="nil"/>
              <w:bottom w:val="single" w:sz="4" w:space="0" w:color="auto"/>
              <w:right w:val="single" w:sz="4" w:space="0" w:color="auto"/>
            </w:tcBorders>
            <w:shd w:val="clear" w:color="auto" w:fill="auto"/>
            <w:noWrap/>
            <w:vAlign w:val="center"/>
            <w:hideMark/>
          </w:tcPr>
          <w:p w14:paraId="658266C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6AD35F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la utilización de medios tecnológicos para la realización de audiencias y otras diligencias.</w:t>
            </w:r>
          </w:p>
        </w:tc>
      </w:tr>
      <w:tr w:rsidR="00356493" w:rsidRPr="007D27D6" w14:paraId="7559378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2D3247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CJP090</w:t>
            </w:r>
          </w:p>
        </w:tc>
        <w:tc>
          <w:tcPr>
            <w:tcW w:w="688" w:type="dxa"/>
            <w:tcBorders>
              <w:top w:val="nil"/>
              <w:left w:val="nil"/>
              <w:bottom w:val="single" w:sz="4" w:space="0" w:color="auto"/>
              <w:right w:val="single" w:sz="4" w:space="0" w:color="auto"/>
            </w:tcBorders>
            <w:shd w:val="clear" w:color="auto" w:fill="auto"/>
            <w:noWrap/>
            <w:vAlign w:val="center"/>
            <w:hideMark/>
          </w:tcPr>
          <w:p w14:paraId="0929C89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300EB8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246-PLA-OI-2020 sobre informe del análisis y cuadros estadísticos de los movimientos de trabajo en los Tribunales Penales durante el 2018 y el último quinquenio.</w:t>
            </w:r>
          </w:p>
        </w:tc>
      </w:tr>
      <w:tr w:rsidR="00356493" w:rsidRPr="007D27D6" w14:paraId="2A28BA6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AB3C51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CJP092</w:t>
            </w:r>
          </w:p>
        </w:tc>
        <w:tc>
          <w:tcPr>
            <w:tcW w:w="688" w:type="dxa"/>
            <w:tcBorders>
              <w:top w:val="nil"/>
              <w:left w:val="nil"/>
              <w:bottom w:val="single" w:sz="4" w:space="0" w:color="auto"/>
              <w:right w:val="single" w:sz="4" w:space="0" w:color="auto"/>
            </w:tcBorders>
            <w:shd w:val="clear" w:color="auto" w:fill="auto"/>
            <w:noWrap/>
            <w:vAlign w:val="center"/>
            <w:hideMark/>
          </w:tcPr>
          <w:p w14:paraId="5D9D63E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A0EF06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284-PLA-OI-2020 sobre el rediseño del proceso del modelo penal para el Tribunal Penal del Primer Circuito Judicial de Guanacaste, sede Cañas.</w:t>
            </w:r>
          </w:p>
        </w:tc>
      </w:tr>
      <w:tr w:rsidR="00356493" w:rsidRPr="007D27D6" w14:paraId="4300DA7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784540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CJP102</w:t>
            </w:r>
          </w:p>
        </w:tc>
        <w:tc>
          <w:tcPr>
            <w:tcW w:w="688" w:type="dxa"/>
            <w:tcBorders>
              <w:top w:val="nil"/>
              <w:left w:val="nil"/>
              <w:bottom w:val="single" w:sz="4" w:space="0" w:color="auto"/>
              <w:right w:val="single" w:sz="4" w:space="0" w:color="auto"/>
            </w:tcBorders>
            <w:shd w:val="clear" w:color="auto" w:fill="auto"/>
            <w:noWrap/>
            <w:vAlign w:val="center"/>
            <w:hideMark/>
          </w:tcPr>
          <w:p w14:paraId="2A98F42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8DC359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INAMU-PE-270-2020.</w:t>
            </w:r>
          </w:p>
        </w:tc>
      </w:tr>
      <w:tr w:rsidR="00356493" w:rsidRPr="007D27D6" w14:paraId="42EBEDA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2CAD83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CJP103</w:t>
            </w:r>
          </w:p>
        </w:tc>
        <w:tc>
          <w:tcPr>
            <w:tcW w:w="688" w:type="dxa"/>
            <w:tcBorders>
              <w:top w:val="nil"/>
              <w:left w:val="nil"/>
              <w:bottom w:val="single" w:sz="4" w:space="0" w:color="auto"/>
              <w:right w:val="single" w:sz="4" w:space="0" w:color="auto"/>
            </w:tcBorders>
            <w:shd w:val="clear" w:color="auto" w:fill="auto"/>
            <w:noWrap/>
            <w:vAlign w:val="center"/>
            <w:hideMark/>
          </w:tcPr>
          <w:p w14:paraId="0AD456B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F0EB96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extraordinaria de la Comisión número 04-2020 tema PROTOCOLO PARA LA REALIZACIÓN DE VIDEOCONFERENCIAS EN PROCESOS PENALES</w:t>
            </w:r>
          </w:p>
        </w:tc>
      </w:tr>
      <w:tr w:rsidR="00356493" w:rsidRPr="007D27D6" w14:paraId="1BE5EE48"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009DB5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CJP104</w:t>
            </w:r>
          </w:p>
        </w:tc>
        <w:tc>
          <w:tcPr>
            <w:tcW w:w="688" w:type="dxa"/>
            <w:tcBorders>
              <w:top w:val="nil"/>
              <w:left w:val="nil"/>
              <w:bottom w:val="single" w:sz="4" w:space="0" w:color="auto"/>
              <w:right w:val="single" w:sz="4" w:space="0" w:color="auto"/>
            </w:tcBorders>
            <w:shd w:val="clear" w:color="auto" w:fill="auto"/>
            <w:noWrap/>
            <w:vAlign w:val="center"/>
            <w:hideMark/>
          </w:tcPr>
          <w:p w14:paraId="45307C1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0162066"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depósito de objetos en materia contravencional por parte del O.I.J.</w:t>
            </w:r>
          </w:p>
        </w:tc>
      </w:tr>
      <w:tr w:rsidR="00356493" w:rsidRPr="007D27D6" w14:paraId="23D249B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EF2F22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CJP105</w:t>
            </w:r>
          </w:p>
        </w:tc>
        <w:tc>
          <w:tcPr>
            <w:tcW w:w="688" w:type="dxa"/>
            <w:tcBorders>
              <w:top w:val="nil"/>
              <w:left w:val="nil"/>
              <w:bottom w:val="single" w:sz="4" w:space="0" w:color="auto"/>
              <w:right w:val="single" w:sz="4" w:space="0" w:color="auto"/>
            </w:tcBorders>
            <w:shd w:val="clear" w:color="auto" w:fill="auto"/>
            <w:noWrap/>
            <w:vAlign w:val="center"/>
            <w:hideMark/>
          </w:tcPr>
          <w:p w14:paraId="293FE21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2D22B4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consulta del MP sobre nombramiento de juez 4 por inopia.</w:t>
            </w:r>
          </w:p>
        </w:tc>
      </w:tr>
      <w:tr w:rsidR="00356493" w:rsidRPr="007D27D6" w14:paraId="02D3A53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562909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CJP108</w:t>
            </w:r>
          </w:p>
        </w:tc>
        <w:tc>
          <w:tcPr>
            <w:tcW w:w="688" w:type="dxa"/>
            <w:tcBorders>
              <w:top w:val="nil"/>
              <w:left w:val="nil"/>
              <w:bottom w:val="single" w:sz="4" w:space="0" w:color="auto"/>
              <w:right w:val="single" w:sz="4" w:space="0" w:color="auto"/>
            </w:tcBorders>
            <w:shd w:val="clear" w:color="auto" w:fill="auto"/>
            <w:noWrap/>
            <w:vAlign w:val="center"/>
            <w:hideMark/>
          </w:tcPr>
          <w:p w14:paraId="41513FD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50B6FF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Respuesta al oficio 610-PLA-2020 de Planificación sobre el Protocolo de actuación en Audiencias Virtuales.</w:t>
            </w:r>
          </w:p>
        </w:tc>
      </w:tr>
      <w:tr w:rsidR="00356493" w:rsidRPr="007D27D6" w14:paraId="4639B1B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C76B95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CJP109</w:t>
            </w:r>
          </w:p>
        </w:tc>
        <w:tc>
          <w:tcPr>
            <w:tcW w:w="688" w:type="dxa"/>
            <w:tcBorders>
              <w:top w:val="nil"/>
              <w:left w:val="nil"/>
              <w:bottom w:val="single" w:sz="4" w:space="0" w:color="auto"/>
              <w:right w:val="single" w:sz="4" w:space="0" w:color="auto"/>
            </w:tcBorders>
            <w:shd w:val="clear" w:color="auto" w:fill="auto"/>
            <w:noWrap/>
            <w:vAlign w:val="center"/>
            <w:hideMark/>
          </w:tcPr>
          <w:p w14:paraId="41B1814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1B9212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Respuesta al oficio 3240-2020 rediseño del proceso penal para Tribunal Penal de Liberia.</w:t>
            </w:r>
          </w:p>
        </w:tc>
      </w:tr>
      <w:tr w:rsidR="00356493" w:rsidRPr="007D27D6" w14:paraId="2AB4469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E632CB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CJP115</w:t>
            </w:r>
          </w:p>
        </w:tc>
        <w:tc>
          <w:tcPr>
            <w:tcW w:w="688" w:type="dxa"/>
            <w:tcBorders>
              <w:top w:val="nil"/>
              <w:left w:val="nil"/>
              <w:bottom w:val="single" w:sz="4" w:space="0" w:color="auto"/>
              <w:right w:val="single" w:sz="4" w:space="0" w:color="auto"/>
            </w:tcBorders>
            <w:shd w:val="clear" w:color="auto" w:fill="auto"/>
            <w:noWrap/>
            <w:vAlign w:val="center"/>
            <w:hideMark/>
          </w:tcPr>
          <w:p w14:paraId="2DB8538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3687DF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05-2020, Criterio de la Comisión sobre la celebración de audiencias previas al debate.</w:t>
            </w:r>
          </w:p>
        </w:tc>
      </w:tr>
      <w:tr w:rsidR="00356493" w:rsidRPr="007D27D6" w14:paraId="46BDD56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105DA7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CJP116</w:t>
            </w:r>
          </w:p>
        </w:tc>
        <w:tc>
          <w:tcPr>
            <w:tcW w:w="688" w:type="dxa"/>
            <w:tcBorders>
              <w:top w:val="nil"/>
              <w:left w:val="nil"/>
              <w:bottom w:val="single" w:sz="4" w:space="0" w:color="auto"/>
              <w:right w:val="single" w:sz="4" w:space="0" w:color="auto"/>
            </w:tcBorders>
            <w:shd w:val="clear" w:color="auto" w:fill="auto"/>
            <w:noWrap/>
            <w:vAlign w:val="center"/>
            <w:hideMark/>
          </w:tcPr>
          <w:p w14:paraId="389BC50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AE177C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05-2020, Criterio de la Comisión sobre movimientos de trabajo en las fiscalías penales juveniles durante el 2018 y el último quinquenio.</w:t>
            </w:r>
          </w:p>
        </w:tc>
      </w:tr>
      <w:tr w:rsidR="00356493" w:rsidRPr="007D27D6" w14:paraId="5CC1D8B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BB0B9C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CJP117</w:t>
            </w:r>
          </w:p>
        </w:tc>
        <w:tc>
          <w:tcPr>
            <w:tcW w:w="688" w:type="dxa"/>
            <w:tcBorders>
              <w:top w:val="nil"/>
              <w:left w:val="nil"/>
              <w:bottom w:val="single" w:sz="4" w:space="0" w:color="auto"/>
              <w:right w:val="single" w:sz="4" w:space="0" w:color="auto"/>
            </w:tcBorders>
            <w:shd w:val="clear" w:color="auto" w:fill="auto"/>
            <w:noWrap/>
            <w:vAlign w:val="center"/>
            <w:hideMark/>
          </w:tcPr>
          <w:p w14:paraId="45D37CE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D6A942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05-2020, Criterio de la Comisión sobre rediseño del proceso penal del Juzgado Penal de Pavas.</w:t>
            </w:r>
          </w:p>
        </w:tc>
      </w:tr>
      <w:tr w:rsidR="00356493" w:rsidRPr="007D27D6" w14:paraId="310B98CF"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3A46BD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CJP118</w:t>
            </w:r>
          </w:p>
        </w:tc>
        <w:tc>
          <w:tcPr>
            <w:tcW w:w="688" w:type="dxa"/>
            <w:tcBorders>
              <w:top w:val="nil"/>
              <w:left w:val="nil"/>
              <w:bottom w:val="single" w:sz="4" w:space="0" w:color="auto"/>
              <w:right w:val="single" w:sz="4" w:space="0" w:color="auto"/>
            </w:tcBorders>
            <w:shd w:val="clear" w:color="auto" w:fill="auto"/>
            <w:noWrap/>
            <w:vAlign w:val="center"/>
            <w:hideMark/>
          </w:tcPr>
          <w:p w14:paraId="25CA75F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31B800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05-2020, Criterio de la Comisión sobre gran cantidad de señalamientos del Tribunal Penal y Juzgado Penal de Pococi.</w:t>
            </w:r>
          </w:p>
        </w:tc>
      </w:tr>
      <w:tr w:rsidR="00356493" w:rsidRPr="007D27D6" w14:paraId="5AEA821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4F2183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CJP119</w:t>
            </w:r>
          </w:p>
        </w:tc>
        <w:tc>
          <w:tcPr>
            <w:tcW w:w="688" w:type="dxa"/>
            <w:tcBorders>
              <w:top w:val="nil"/>
              <w:left w:val="nil"/>
              <w:bottom w:val="single" w:sz="4" w:space="0" w:color="auto"/>
              <w:right w:val="single" w:sz="4" w:space="0" w:color="auto"/>
            </w:tcBorders>
            <w:shd w:val="clear" w:color="auto" w:fill="auto"/>
            <w:noWrap/>
            <w:vAlign w:val="center"/>
            <w:hideMark/>
          </w:tcPr>
          <w:p w14:paraId="7698AA3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9C7A3F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05-2020, Criterio de la Comisión sobre rediseño del proceso penal del Juzgado Penal de Sarapiquí.</w:t>
            </w:r>
          </w:p>
        </w:tc>
      </w:tr>
      <w:tr w:rsidR="00356493" w:rsidRPr="007D27D6" w14:paraId="6D86AD3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18E79A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CJP120</w:t>
            </w:r>
          </w:p>
        </w:tc>
        <w:tc>
          <w:tcPr>
            <w:tcW w:w="688" w:type="dxa"/>
            <w:tcBorders>
              <w:top w:val="nil"/>
              <w:left w:val="nil"/>
              <w:bottom w:val="single" w:sz="4" w:space="0" w:color="auto"/>
              <w:right w:val="single" w:sz="4" w:space="0" w:color="auto"/>
            </w:tcBorders>
            <w:shd w:val="clear" w:color="auto" w:fill="auto"/>
            <w:noWrap/>
            <w:vAlign w:val="center"/>
            <w:hideMark/>
          </w:tcPr>
          <w:p w14:paraId="01DD39A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EF9BAF9"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05-2020, Criterio de la Comisión sobre consulta de la Defensoría de los Habitantes, en cuanto a tema de Lactancia.</w:t>
            </w:r>
          </w:p>
        </w:tc>
      </w:tr>
      <w:tr w:rsidR="00356493" w:rsidRPr="007D27D6" w14:paraId="50D1B1D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2B0D24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CJP125</w:t>
            </w:r>
          </w:p>
        </w:tc>
        <w:tc>
          <w:tcPr>
            <w:tcW w:w="688" w:type="dxa"/>
            <w:tcBorders>
              <w:top w:val="nil"/>
              <w:left w:val="nil"/>
              <w:bottom w:val="single" w:sz="4" w:space="0" w:color="auto"/>
              <w:right w:val="single" w:sz="4" w:space="0" w:color="auto"/>
            </w:tcBorders>
            <w:shd w:val="clear" w:color="auto" w:fill="auto"/>
            <w:noWrap/>
            <w:vAlign w:val="center"/>
            <w:hideMark/>
          </w:tcPr>
          <w:p w14:paraId="347FD4D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7144CC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Listado de respuesta de la Comisión sobre capacitación den Discapacidad</w:t>
            </w:r>
          </w:p>
        </w:tc>
      </w:tr>
      <w:tr w:rsidR="00356493" w:rsidRPr="007D27D6" w14:paraId="0BEF4241"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79FD57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CJP126</w:t>
            </w:r>
          </w:p>
        </w:tc>
        <w:tc>
          <w:tcPr>
            <w:tcW w:w="688" w:type="dxa"/>
            <w:tcBorders>
              <w:top w:val="nil"/>
              <w:left w:val="nil"/>
              <w:bottom w:val="single" w:sz="4" w:space="0" w:color="auto"/>
              <w:right w:val="single" w:sz="4" w:space="0" w:color="auto"/>
            </w:tcBorders>
            <w:shd w:val="clear" w:color="auto" w:fill="auto"/>
            <w:noWrap/>
            <w:vAlign w:val="center"/>
            <w:hideMark/>
          </w:tcPr>
          <w:p w14:paraId="69CC88E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6ACBD8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problemática en disponibilidad en la Defensa Pública de Liberia.</w:t>
            </w:r>
          </w:p>
        </w:tc>
      </w:tr>
      <w:tr w:rsidR="00356493" w:rsidRPr="007D27D6" w14:paraId="790B033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4CD6E2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CJP127</w:t>
            </w:r>
          </w:p>
        </w:tc>
        <w:tc>
          <w:tcPr>
            <w:tcW w:w="688" w:type="dxa"/>
            <w:tcBorders>
              <w:top w:val="nil"/>
              <w:left w:val="nil"/>
              <w:bottom w:val="single" w:sz="4" w:space="0" w:color="auto"/>
              <w:right w:val="single" w:sz="4" w:space="0" w:color="auto"/>
            </w:tcBorders>
            <w:shd w:val="clear" w:color="auto" w:fill="auto"/>
            <w:noWrap/>
            <w:vAlign w:val="center"/>
            <w:hideMark/>
          </w:tcPr>
          <w:p w14:paraId="0807FDB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59D928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rediseño del proceso penal para el Juzgado Penal de San Joaquín de Flores</w:t>
            </w:r>
          </w:p>
        </w:tc>
      </w:tr>
      <w:tr w:rsidR="00356493" w:rsidRPr="007D27D6" w14:paraId="49856DF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687E57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CJP128</w:t>
            </w:r>
          </w:p>
        </w:tc>
        <w:tc>
          <w:tcPr>
            <w:tcW w:w="688" w:type="dxa"/>
            <w:tcBorders>
              <w:top w:val="nil"/>
              <w:left w:val="nil"/>
              <w:bottom w:val="single" w:sz="4" w:space="0" w:color="auto"/>
              <w:right w:val="single" w:sz="4" w:space="0" w:color="auto"/>
            </w:tcBorders>
            <w:shd w:val="clear" w:color="auto" w:fill="auto"/>
            <w:noWrap/>
            <w:vAlign w:val="center"/>
            <w:hideMark/>
          </w:tcPr>
          <w:p w14:paraId="167C04B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ECEAB1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los movimientos de trabajo durante el 2019 y el último quinquenio en el Tribunal de Apelación de Sentencia Penal Juvenil</w:t>
            </w:r>
          </w:p>
        </w:tc>
      </w:tr>
      <w:tr w:rsidR="00356493" w:rsidRPr="007D27D6" w14:paraId="67D7655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ED763F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CJP129</w:t>
            </w:r>
          </w:p>
        </w:tc>
        <w:tc>
          <w:tcPr>
            <w:tcW w:w="688" w:type="dxa"/>
            <w:tcBorders>
              <w:top w:val="nil"/>
              <w:left w:val="nil"/>
              <w:bottom w:val="single" w:sz="4" w:space="0" w:color="auto"/>
              <w:right w:val="single" w:sz="4" w:space="0" w:color="auto"/>
            </w:tcBorders>
            <w:shd w:val="clear" w:color="auto" w:fill="auto"/>
            <w:noWrap/>
            <w:vAlign w:val="center"/>
            <w:hideMark/>
          </w:tcPr>
          <w:p w14:paraId="48228AB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02F7639"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el rediseño del proceso penal de Heredia.</w:t>
            </w:r>
          </w:p>
        </w:tc>
      </w:tr>
      <w:tr w:rsidR="00356493" w:rsidRPr="007D27D6" w14:paraId="412AA26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D568A9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CJP130</w:t>
            </w:r>
          </w:p>
        </w:tc>
        <w:tc>
          <w:tcPr>
            <w:tcW w:w="688" w:type="dxa"/>
            <w:tcBorders>
              <w:top w:val="nil"/>
              <w:left w:val="nil"/>
              <w:bottom w:val="single" w:sz="4" w:space="0" w:color="auto"/>
              <w:right w:val="single" w:sz="4" w:space="0" w:color="auto"/>
            </w:tcBorders>
            <w:shd w:val="clear" w:color="auto" w:fill="auto"/>
            <w:noWrap/>
            <w:vAlign w:val="center"/>
            <w:hideMark/>
          </w:tcPr>
          <w:p w14:paraId="0C0FF5F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B5AB04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PJ-DGH-SGD-052-2020</w:t>
            </w:r>
          </w:p>
        </w:tc>
      </w:tr>
      <w:tr w:rsidR="00356493" w:rsidRPr="007D27D6" w14:paraId="66ADED9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BA57C9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CJP131</w:t>
            </w:r>
          </w:p>
        </w:tc>
        <w:tc>
          <w:tcPr>
            <w:tcW w:w="688" w:type="dxa"/>
            <w:tcBorders>
              <w:top w:val="nil"/>
              <w:left w:val="nil"/>
              <w:bottom w:val="single" w:sz="4" w:space="0" w:color="auto"/>
              <w:right w:val="single" w:sz="4" w:space="0" w:color="auto"/>
            </w:tcBorders>
            <w:shd w:val="clear" w:color="auto" w:fill="auto"/>
            <w:noWrap/>
            <w:vAlign w:val="center"/>
            <w:hideMark/>
          </w:tcPr>
          <w:p w14:paraId="36A8D27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5A0035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06-2020, respuesta de la comisión, gestión Enlace Corte-OIJ.</w:t>
            </w:r>
          </w:p>
        </w:tc>
      </w:tr>
      <w:tr w:rsidR="00356493" w:rsidRPr="007D27D6" w14:paraId="485A9C2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980756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CJP133</w:t>
            </w:r>
          </w:p>
        </w:tc>
        <w:tc>
          <w:tcPr>
            <w:tcW w:w="688" w:type="dxa"/>
            <w:tcBorders>
              <w:top w:val="nil"/>
              <w:left w:val="nil"/>
              <w:bottom w:val="single" w:sz="4" w:space="0" w:color="auto"/>
              <w:right w:val="single" w:sz="4" w:space="0" w:color="auto"/>
            </w:tcBorders>
            <w:shd w:val="clear" w:color="auto" w:fill="auto"/>
            <w:noWrap/>
            <w:vAlign w:val="center"/>
            <w:hideMark/>
          </w:tcPr>
          <w:p w14:paraId="1025999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D81D1C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rediseño del proceso penal para el Juzgado Penal de Liberia</w:t>
            </w:r>
          </w:p>
        </w:tc>
      </w:tr>
      <w:tr w:rsidR="00356493" w:rsidRPr="007D27D6" w14:paraId="2553541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7259FF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CJP134</w:t>
            </w:r>
          </w:p>
        </w:tc>
        <w:tc>
          <w:tcPr>
            <w:tcW w:w="688" w:type="dxa"/>
            <w:tcBorders>
              <w:top w:val="nil"/>
              <w:left w:val="nil"/>
              <w:bottom w:val="single" w:sz="4" w:space="0" w:color="auto"/>
              <w:right w:val="single" w:sz="4" w:space="0" w:color="auto"/>
            </w:tcBorders>
            <w:shd w:val="clear" w:color="auto" w:fill="auto"/>
            <w:noWrap/>
            <w:vAlign w:val="center"/>
            <w:hideMark/>
          </w:tcPr>
          <w:p w14:paraId="5975D29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81CD63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consulta de la Contraloría de Servicios en cuanto a la responsabilidad de comunicar la cancelación de una audiencia a los testigos.</w:t>
            </w:r>
          </w:p>
        </w:tc>
      </w:tr>
      <w:tr w:rsidR="00356493" w:rsidRPr="007D27D6" w14:paraId="60E5EDE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8CD310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CJP139</w:t>
            </w:r>
          </w:p>
        </w:tc>
        <w:tc>
          <w:tcPr>
            <w:tcW w:w="688" w:type="dxa"/>
            <w:tcBorders>
              <w:top w:val="nil"/>
              <w:left w:val="nil"/>
              <w:bottom w:val="single" w:sz="4" w:space="0" w:color="auto"/>
              <w:right w:val="single" w:sz="4" w:space="0" w:color="auto"/>
            </w:tcBorders>
            <w:shd w:val="clear" w:color="auto" w:fill="auto"/>
            <w:noWrap/>
            <w:vAlign w:val="center"/>
            <w:hideMark/>
          </w:tcPr>
          <w:p w14:paraId="42DF728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1395E5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en respuesta al oficio de SITRAJUD 059-S-2020 CJP126-2020</w:t>
            </w:r>
          </w:p>
        </w:tc>
      </w:tr>
      <w:tr w:rsidR="00356493" w:rsidRPr="007D27D6" w14:paraId="6B08B69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FE481C5"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CJP142</w:t>
            </w:r>
          </w:p>
        </w:tc>
        <w:tc>
          <w:tcPr>
            <w:tcW w:w="688" w:type="dxa"/>
            <w:tcBorders>
              <w:top w:val="nil"/>
              <w:left w:val="nil"/>
              <w:bottom w:val="single" w:sz="4" w:space="0" w:color="auto"/>
              <w:right w:val="single" w:sz="4" w:space="0" w:color="auto"/>
            </w:tcBorders>
            <w:shd w:val="clear" w:color="auto" w:fill="auto"/>
            <w:noWrap/>
            <w:vAlign w:val="center"/>
            <w:hideMark/>
          </w:tcPr>
          <w:p w14:paraId="2C534E0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2E4B53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rediseño del proceso penal para el circuito Judicial de Puntarenas.</w:t>
            </w:r>
          </w:p>
        </w:tc>
      </w:tr>
      <w:tr w:rsidR="00356493" w:rsidRPr="007D27D6" w14:paraId="5E2FC26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8511D1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CJP143</w:t>
            </w:r>
          </w:p>
        </w:tc>
        <w:tc>
          <w:tcPr>
            <w:tcW w:w="688" w:type="dxa"/>
            <w:tcBorders>
              <w:top w:val="nil"/>
              <w:left w:val="nil"/>
              <w:bottom w:val="single" w:sz="4" w:space="0" w:color="auto"/>
              <w:right w:val="single" w:sz="4" w:space="0" w:color="auto"/>
            </w:tcBorders>
            <w:shd w:val="clear" w:color="auto" w:fill="auto"/>
            <w:noWrap/>
            <w:vAlign w:val="center"/>
            <w:hideMark/>
          </w:tcPr>
          <w:p w14:paraId="6AD4CBC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09B3AE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excepciones previas.</w:t>
            </w:r>
          </w:p>
        </w:tc>
      </w:tr>
      <w:tr w:rsidR="00356493" w:rsidRPr="007D27D6" w14:paraId="69E2205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941C76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CJP145</w:t>
            </w:r>
          </w:p>
        </w:tc>
        <w:tc>
          <w:tcPr>
            <w:tcW w:w="688" w:type="dxa"/>
            <w:tcBorders>
              <w:top w:val="nil"/>
              <w:left w:val="nil"/>
              <w:bottom w:val="single" w:sz="4" w:space="0" w:color="auto"/>
              <w:right w:val="single" w:sz="4" w:space="0" w:color="auto"/>
            </w:tcBorders>
            <w:shd w:val="clear" w:color="auto" w:fill="auto"/>
            <w:noWrap/>
            <w:vAlign w:val="center"/>
            <w:hideMark/>
          </w:tcPr>
          <w:p w14:paraId="1B8AB10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2B521E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cambios en los informes mensuales estadísticos que genera la Dirección de Planificación, "imputado inhábil"</w:t>
            </w:r>
          </w:p>
        </w:tc>
      </w:tr>
      <w:tr w:rsidR="00356493" w:rsidRPr="007D27D6" w14:paraId="2A5B8E3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2FE79E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CJP146</w:t>
            </w:r>
          </w:p>
        </w:tc>
        <w:tc>
          <w:tcPr>
            <w:tcW w:w="688" w:type="dxa"/>
            <w:tcBorders>
              <w:top w:val="nil"/>
              <w:left w:val="nil"/>
              <w:bottom w:val="single" w:sz="4" w:space="0" w:color="auto"/>
              <w:right w:val="single" w:sz="4" w:space="0" w:color="auto"/>
            </w:tcBorders>
            <w:shd w:val="clear" w:color="auto" w:fill="auto"/>
            <w:noWrap/>
            <w:vAlign w:val="center"/>
            <w:hideMark/>
          </w:tcPr>
          <w:p w14:paraId="1797486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1C1FEE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propuesta de plan de evaluación en la especialización penal de la Escuela Judicial</w:t>
            </w:r>
          </w:p>
        </w:tc>
      </w:tr>
      <w:tr w:rsidR="00356493" w:rsidRPr="007D27D6" w14:paraId="6C743C4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56BF90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CJP147</w:t>
            </w:r>
          </w:p>
        </w:tc>
        <w:tc>
          <w:tcPr>
            <w:tcW w:w="688" w:type="dxa"/>
            <w:tcBorders>
              <w:top w:val="nil"/>
              <w:left w:val="nil"/>
              <w:bottom w:val="single" w:sz="4" w:space="0" w:color="auto"/>
              <w:right w:val="single" w:sz="4" w:space="0" w:color="auto"/>
            </w:tcBorders>
            <w:shd w:val="clear" w:color="auto" w:fill="auto"/>
            <w:noWrap/>
            <w:vAlign w:val="center"/>
            <w:hideMark/>
          </w:tcPr>
          <w:p w14:paraId="6A3E211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C895AF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559-PLA-OI-2020 proyecto de mejora integral del proceso penal</w:t>
            </w:r>
          </w:p>
        </w:tc>
      </w:tr>
      <w:tr w:rsidR="00356493" w:rsidRPr="007D27D6" w14:paraId="3129D65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2395B9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CJP149</w:t>
            </w:r>
          </w:p>
        </w:tc>
        <w:tc>
          <w:tcPr>
            <w:tcW w:w="688" w:type="dxa"/>
            <w:tcBorders>
              <w:top w:val="nil"/>
              <w:left w:val="nil"/>
              <w:bottom w:val="single" w:sz="4" w:space="0" w:color="auto"/>
              <w:right w:val="single" w:sz="4" w:space="0" w:color="auto"/>
            </w:tcBorders>
            <w:shd w:val="clear" w:color="auto" w:fill="auto"/>
            <w:noWrap/>
            <w:vAlign w:val="center"/>
            <w:hideMark/>
          </w:tcPr>
          <w:p w14:paraId="2D7C7E9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C101CB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666-PLA-ES-2020, tipos de audiencias, estados y motivos de cancelación de audiencias que se registran en materia contravencional</w:t>
            </w:r>
          </w:p>
        </w:tc>
      </w:tr>
      <w:tr w:rsidR="00356493" w:rsidRPr="007D27D6" w14:paraId="1323136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D0FD2B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CJP150</w:t>
            </w:r>
          </w:p>
        </w:tc>
        <w:tc>
          <w:tcPr>
            <w:tcW w:w="688" w:type="dxa"/>
            <w:tcBorders>
              <w:top w:val="nil"/>
              <w:left w:val="nil"/>
              <w:bottom w:val="single" w:sz="4" w:space="0" w:color="auto"/>
              <w:right w:val="single" w:sz="4" w:space="0" w:color="auto"/>
            </w:tcBorders>
            <w:shd w:val="clear" w:color="auto" w:fill="auto"/>
            <w:noWrap/>
            <w:vAlign w:val="center"/>
            <w:hideMark/>
          </w:tcPr>
          <w:p w14:paraId="5313A8E5"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443410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Ampliación de la circular 120-2020</w:t>
            </w:r>
          </w:p>
        </w:tc>
      </w:tr>
      <w:tr w:rsidR="00356493" w:rsidRPr="007D27D6" w14:paraId="332EF2E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3ABDFB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CJP151</w:t>
            </w:r>
          </w:p>
        </w:tc>
        <w:tc>
          <w:tcPr>
            <w:tcW w:w="688" w:type="dxa"/>
            <w:tcBorders>
              <w:top w:val="nil"/>
              <w:left w:val="nil"/>
              <w:bottom w:val="single" w:sz="4" w:space="0" w:color="auto"/>
              <w:right w:val="single" w:sz="4" w:space="0" w:color="auto"/>
            </w:tcBorders>
            <w:shd w:val="clear" w:color="auto" w:fill="auto"/>
            <w:noWrap/>
            <w:vAlign w:val="center"/>
            <w:hideMark/>
          </w:tcPr>
          <w:p w14:paraId="33B210A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136823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01-2020 de la Comisión, sobre corrección de la minuta de la audiencia preliminar por parte del juez penal que la redactó.</w:t>
            </w:r>
          </w:p>
        </w:tc>
      </w:tr>
      <w:tr w:rsidR="00356493" w:rsidRPr="007D27D6" w14:paraId="0A215C7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B29E0E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CJP152</w:t>
            </w:r>
          </w:p>
        </w:tc>
        <w:tc>
          <w:tcPr>
            <w:tcW w:w="688" w:type="dxa"/>
            <w:tcBorders>
              <w:top w:val="nil"/>
              <w:left w:val="nil"/>
              <w:bottom w:val="single" w:sz="4" w:space="0" w:color="auto"/>
              <w:right w:val="single" w:sz="4" w:space="0" w:color="auto"/>
            </w:tcBorders>
            <w:shd w:val="clear" w:color="auto" w:fill="auto"/>
            <w:noWrap/>
            <w:vAlign w:val="center"/>
            <w:hideMark/>
          </w:tcPr>
          <w:p w14:paraId="00A625B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10078A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01-2020, de la Comisión, sobre el oficio 1683-PLA-OI-2019, rediseño proceso penal del Tribunal Penal de Heredia.</w:t>
            </w:r>
          </w:p>
        </w:tc>
      </w:tr>
      <w:tr w:rsidR="00356493" w:rsidRPr="007D27D6" w14:paraId="3902E6C5"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CE5E0C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CJP153</w:t>
            </w:r>
          </w:p>
        </w:tc>
        <w:tc>
          <w:tcPr>
            <w:tcW w:w="688" w:type="dxa"/>
            <w:tcBorders>
              <w:top w:val="nil"/>
              <w:left w:val="nil"/>
              <w:bottom w:val="single" w:sz="4" w:space="0" w:color="auto"/>
              <w:right w:val="single" w:sz="4" w:space="0" w:color="auto"/>
            </w:tcBorders>
            <w:shd w:val="clear" w:color="auto" w:fill="auto"/>
            <w:noWrap/>
            <w:vAlign w:val="center"/>
            <w:hideMark/>
          </w:tcPr>
          <w:p w14:paraId="59EC96F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4695C3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Respuesta de la Comisión, sobre labores realizadas ante la declaratoria de emergencia.</w:t>
            </w:r>
          </w:p>
        </w:tc>
      </w:tr>
      <w:tr w:rsidR="00356493" w:rsidRPr="007D27D6" w14:paraId="649915B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F5BF00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CJP154</w:t>
            </w:r>
          </w:p>
        </w:tc>
        <w:tc>
          <w:tcPr>
            <w:tcW w:w="688" w:type="dxa"/>
            <w:tcBorders>
              <w:top w:val="nil"/>
              <w:left w:val="nil"/>
              <w:bottom w:val="single" w:sz="4" w:space="0" w:color="auto"/>
              <w:right w:val="single" w:sz="4" w:space="0" w:color="auto"/>
            </w:tcBorders>
            <w:shd w:val="clear" w:color="auto" w:fill="auto"/>
            <w:noWrap/>
            <w:vAlign w:val="center"/>
            <w:hideMark/>
          </w:tcPr>
          <w:p w14:paraId="45141BE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F8035B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eliminación de expedientes en materia penal.</w:t>
            </w:r>
          </w:p>
        </w:tc>
      </w:tr>
      <w:tr w:rsidR="00356493" w:rsidRPr="007D27D6" w14:paraId="09E2634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FE36A8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CJP155</w:t>
            </w:r>
          </w:p>
        </w:tc>
        <w:tc>
          <w:tcPr>
            <w:tcW w:w="688" w:type="dxa"/>
            <w:tcBorders>
              <w:top w:val="nil"/>
              <w:left w:val="nil"/>
              <w:bottom w:val="single" w:sz="4" w:space="0" w:color="auto"/>
              <w:right w:val="single" w:sz="4" w:space="0" w:color="auto"/>
            </w:tcBorders>
            <w:shd w:val="clear" w:color="auto" w:fill="auto"/>
            <w:noWrap/>
            <w:vAlign w:val="center"/>
            <w:hideMark/>
          </w:tcPr>
          <w:p w14:paraId="327A440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78FFCD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06-2020, oficio a Corte Suprema, sobre criterio de la Comisión ante nuevas medidas por el Covid-19.</w:t>
            </w:r>
          </w:p>
        </w:tc>
      </w:tr>
      <w:tr w:rsidR="00356493" w:rsidRPr="007D27D6" w14:paraId="7027397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D063DC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CJP157</w:t>
            </w:r>
          </w:p>
        </w:tc>
        <w:tc>
          <w:tcPr>
            <w:tcW w:w="688" w:type="dxa"/>
            <w:tcBorders>
              <w:top w:val="nil"/>
              <w:left w:val="nil"/>
              <w:bottom w:val="single" w:sz="4" w:space="0" w:color="auto"/>
              <w:right w:val="single" w:sz="4" w:space="0" w:color="auto"/>
            </w:tcBorders>
            <w:shd w:val="clear" w:color="auto" w:fill="auto"/>
            <w:noWrap/>
            <w:vAlign w:val="center"/>
            <w:hideMark/>
          </w:tcPr>
          <w:p w14:paraId="037BF51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5768DB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1018-PLA-OI-MI-2020, rediseño del modelo penal</w:t>
            </w:r>
          </w:p>
        </w:tc>
      </w:tr>
      <w:tr w:rsidR="00356493" w:rsidRPr="007D27D6" w14:paraId="1309FE8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BD536F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CJP158</w:t>
            </w:r>
          </w:p>
        </w:tc>
        <w:tc>
          <w:tcPr>
            <w:tcW w:w="688" w:type="dxa"/>
            <w:tcBorders>
              <w:top w:val="nil"/>
              <w:left w:val="nil"/>
              <w:bottom w:val="single" w:sz="4" w:space="0" w:color="auto"/>
              <w:right w:val="single" w:sz="4" w:space="0" w:color="auto"/>
            </w:tcBorders>
            <w:shd w:val="clear" w:color="auto" w:fill="auto"/>
            <w:noWrap/>
            <w:vAlign w:val="center"/>
            <w:hideMark/>
          </w:tcPr>
          <w:p w14:paraId="2DAB8C4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9328AF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993-PLA-MI-2020, modernización institucional</w:t>
            </w:r>
          </w:p>
        </w:tc>
      </w:tr>
      <w:tr w:rsidR="00356493" w:rsidRPr="007D27D6" w14:paraId="3FC5F73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176178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CJP159</w:t>
            </w:r>
          </w:p>
        </w:tc>
        <w:tc>
          <w:tcPr>
            <w:tcW w:w="688" w:type="dxa"/>
            <w:tcBorders>
              <w:top w:val="nil"/>
              <w:left w:val="nil"/>
              <w:bottom w:val="single" w:sz="4" w:space="0" w:color="auto"/>
              <w:right w:val="single" w:sz="4" w:space="0" w:color="auto"/>
            </w:tcBorders>
            <w:shd w:val="clear" w:color="auto" w:fill="auto"/>
            <w:noWrap/>
            <w:vAlign w:val="center"/>
            <w:hideMark/>
          </w:tcPr>
          <w:p w14:paraId="2A71360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432E69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 xml:space="preserve">Criterio de </w:t>
            </w:r>
            <w:proofErr w:type="spellStart"/>
            <w:r w:rsidRPr="00B272C9">
              <w:rPr>
                <w:rFonts w:ascii="Arial" w:eastAsia="Times New Roman" w:hAnsi="Arial" w:cs="Arial"/>
                <w:color w:val="000000"/>
                <w:lang w:eastAsia="es-CR"/>
              </w:rPr>
              <w:t>al</w:t>
            </w:r>
            <w:proofErr w:type="spellEnd"/>
            <w:r w:rsidRPr="00B272C9">
              <w:rPr>
                <w:rFonts w:ascii="Arial" w:eastAsia="Times New Roman" w:hAnsi="Arial" w:cs="Arial"/>
                <w:color w:val="000000"/>
                <w:lang w:eastAsia="es-CR"/>
              </w:rPr>
              <w:t xml:space="preserve"> Comisión sobre oficio 923-PLA-ES-2020.</w:t>
            </w:r>
          </w:p>
        </w:tc>
      </w:tr>
      <w:tr w:rsidR="00356493" w:rsidRPr="007D27D6" w14:paraId="44BC6951"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8AA5AA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CJP160</w:t>
            </w:r>
          </w:p>
        </w:tc>
        <w:tc>
          <w:tcPr>
            <w:tcW w:w="688" w:type="dxa"/>
            <w:tcBorders>
              <w:top w:val="nil"/>
              <w:left w:val="nil"/>
              <w:bottom w:val="single" w:sz="4" w:space="0" w:color="auto"/>
              <w:right w:val="single" w:sz="4" w:space="0" w:color="auto"/>
            </w:tcBorders>
            <w:shd w:val="clear" w:color="auto" w:fill="auto"/>
            <w:noWrap/>
            <w:vAlign w:val="center"/>
            <w:hideMark/>
          </w:tcPr>
          <w:p w14:paraId="2A65097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12A098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33-CSG-2019 de la Contraloría de Servicios del Segundo Circuito Judicial de San José, solicitando el criterio de la Comisión, sobre la recepción de denuncias por mensajes mortificantes donde el imputado es ignorado, y el competente de recibir dicha denuncia. Ingreso el 12-09-2019.</w:t>
            </w:r>
          </w:p>
        </w:tc>
      </w:tr>
      <w:tr w:rsidR="00356493" w:rsidRPr="007D27D6" w14:paraId="2106357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B212A2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CJP161</w:t>
            </w:r>
          </w:p>
        </w:tc>
        <w:tc>
          <w:tcPr>
            <w:tcW w:w="688" w:type="dxa"/>
            <w:tcBorders>
              <w:top w:val="nil"/>
              <w:left w:val="nil"/>
              <w:bottom w:val="single" w:sz="4" w:space="0" w:color="auto"/>
              <w:right w:val="single" w:sz="4" w:space="0" w:color="auto"/>
            </w:tcBorders>
            <w:shd w:val="clear" w:color="auto" w:fill="auto"/>
            <w:noWrap/>
            <w:vAlign w:val="center"/>
            <w:hideMark/>
          </w:tcPr>
          <w:p w14:paraId="125A3A4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A79E30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w:t>
            </w:r>
            <w:proofErr w:type="spellStart"/>
            <w:r w:rsidRPr="00B272C9">
              <w:rPr>
                <w:rFonts w:ascii="Arial" w:eastAsia="Times New Roman" w:hAnsi="Arial" w:cs="Arial"/>
                <w:color w:val="000000"/>
                <w:lang w:eastAsia="es-CR"/>
              </w:rPr>
              <w:t>Check</w:t>
            </w:r>
            <w:proofErr w:type="spellEnd"/>
            <w:r w:rsidRPr="00B272C9">
              <w:rPr>
                <w:rFonts w:ascii="Arial" w:eastAsia="Times New Roman" w:hAnsi="Arial" w:cs="Arial"/>
                <w:color w:val="000000"/>
                <w:lang w:eastAsia="es-CR"/>
              </w:rPr>
              <w:t xml:space="preserve"> </w:t>
            </w:r>
            <w:proofErr w:type="spellStart"/>
            <w:r w:rsidRPr="00B272C9">
              <w:rPr>
                <w:rFonts w:ascii="Arial" w:eastAsia="Times New Roman" w:hAnsi="Arial" w:cs="Arial"/>
                <w:color w:val="000000"/>
                <w:lang w:eastAsia="es-CR"/>
              </w:rPr>
              <w:t>List</w:t>
            </w:r>
            <w:proofErr w:type="spellEnd"/>
            <w:r w:rsidRPr="00B272C9">
              <w:rPr>
                <w:rFonts w:ascii="Arial" w:eastAsia="Times New Roman" w:hAnsi="Arial" w:cs="Arial"/>
                <w:color w:val="000000"/>
                <w:lang w:eastAsia="es-CR"/>
              </w:rPr>
              <w:t>), para la recepción de expedientes por parte de los Juzgados Penales.</w:t>
            </w:r>
          </w:p>
        </w:tc>
      </w:tr>
      <w:tr w:rsidR="00356493" w:rsidRPr="007D27D6" w14:paraId="5C0FBD8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63EE8F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CJP162</w:t>
            </w:r>
          </w:p>
        </w:tc>
        <w:tc>
          <w:tcPr>
            <w:tcW w:w="688" w:type="dxa"/>
            <w:tcBorders>
              <w:top w:val="nil"/>
              <w:left w:val="nil"/>
              <w:bottom w:val="single" w:sz="4" w:space="0" w:color="auto"/>
              <w:right w:val="single" w:sz="4" w:space="0" w:color="auto"/>
            </w:tcBorders>
            <w:shd w:val="clear" w:color="auto" w:fill="auto"/>
            <w:noWrap/>
            <w:vAlign w:val="center"/>
            <w:hideMark/>
          </w:tcPr>
          <w:p w14:paraId="367CC69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BDB6DC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recomendación para la organización del Juzgado Contravencional de Heredia.</w:t>
            </w:r>
          </w:p>
        </w:tc>
      </w:tr>
      <w:tr w:rsidR="00356493" w:rsidRPr="007D27D6" w14:paraId="751CFFD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2E74B5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CJP163</w:t>
            </w:r>
          </w:p>
        </w:tc>
        <w:tc>
          <w:tcPr>
            <w:tcW w:w="688" w:type="dxa"/>
            <w:tcBorders>
              <w:top w:val="nil"/>
              <w:left w:val="nil"/>
              <w:bottom w:val="single" w:sz="4" w:space="0" w:color="auto"/>
              <w:right w:val="single" w:sz="4" w:space="0" w:color="auto"/>
            </w:tcBorders>
            <w:shd w:val="clear" w:color="auto" w:fill="auto"/>
            <w:noWrap/>
            <w:vAlign w:val="center"/>
            <w:hideMark/>
          </w:tcPr>
          <w:p w14:paraId="5E42649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41A6EE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condición de riesgo en zonas indígenas de bribri y batan.</w:t>
            </w:r>
          </w:p>
        </w:tc>
      </w:tr>
      <w:tr w:rsidR="00356493" w:rsidRPr="007D27D6" w14:paraId="505B178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48F9AD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CJP164</w:t>
            </w:r>
          </w:p>
        </w:tc>
        <w:tc>
          <w:tcPr>
            <w:tcW w:w="688" w:type="dxa"/>
            <w:tcBorders>
              <w:top w:val="nil"/>
              <w:left w:val="nil"/>
              <w:bottom w:val="single" w:sz="4" w:space="0" w:color="auto"/>
              <w:right w:val="single" w:sz="4" w:space="0" w:color="auto"/>
            </w:tcBorders>
            <w:shd w:val="clear" w:color="auto" w:fill="auto"/>
            <w:noWrap/>
            <w:vAlign w:val="center"/>
            <w:hideMark/>
          </w:tcPr>
          <w:p w14:paraId="443526A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61936E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 reitera el criterio de la Comisión en el oficio CJP154-2020. Eliminación de expedientes</w:t>
            </w:r>
          </w:p>
        </w:tc>
      </w:tr>
      <w:tr w:rsidR="00356493" w:rsidRPr="007D27D6" w14:paraId="37BCA51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1A25BF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CJP165</w:t>
            </w:r>
          </w:p>
        </w:tc>
        <w:tc>
          <w:tcPr>
            <w:tcW w:w="688" w:type="dxa"/>
            <w:tcBorders>
              <w:top w:val="nil"/>
              <w:left w:val="nil"/>
              <w:bottom w:val="single" w:sz="4" w:space="0" w:color="auto"/>
              <w:right w:val="single" w:sz="4" w:space="0" w:color="auto"/>
            </w:tcBorders>
            <w:shd w:val="clear" w:color="auto" w:fill="auto"/>
            <w:noWrap/>
            <w:vAlign w:val="center"/>
            <w:hideMark/>
          </w:tcPr>
          <w:p w14:paraId="5CAE652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96C386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expedientes activos 124-PLA-ES-2020</w:t>
            </w:r>
          </w:p>
        </w:tc>
      </w:tr>
      <w:tr w:rsidR="00356493" w:rsidRPr="007D27D6" w14:paraId="51806B7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B15CC0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CJP166</w:t>
            </w:r>
          </w:p>
        </w:tc>
        <w:tc>
          <w:tcPr>
            <w:tcW w:w="688" w:type="dxa"/>
            <w:tcBorders>
              <w:top w:val="nil"/>
              <w:left w:val="nil"/>
              <w:bottom w:val="single" w:sz="4" w:space="0" w:color="auto"/>
              <w:right w:val="single" w:sz="4" w:space="0" w:color="auto"/>
            </w:tcBorders>
            <w:shd w:val="clear" w:color="auto" w:fill="auto"/>
            <w:noWrap/>
            <w:vAlign w:val="center"/>
            <w:hideMark/>
          </w:tcPr>
          <w:p w14:paraId="6E41FC1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471EC3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listas de señalamientos en agenda cronos,</w:t>
            </w:r>
          </w:p>
        </w:tc>
      </w:tr>
      <w:tr w:rsidR="00356493" w:rsidRPr="007D27D6" w14:paraId="161CCE3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6A7EB4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CJP169</w:t>
            </w:r>
          </w:p>
        </w:tc>
        <w:tc>
          <w:tcPr>
            <w:tcW w:w="688" w:type="dxa"/>
            <w:tcBorders>
              <w:top w:val="nil"/>
              <w:left w:val="nil"/>
              <w:bottom w:val="single" w:sz="4" w:space="0" w:color="auto"/>
              <w:right w:val="single" w:sz="4" w:space="0" w:color="auto"/>
            </w:tcBorders>
            <w:shd w:val="clear" w:color="auto" w:fill="auto"/>
            <w:noWrap/>
            <w:vAlign w:val="center"/>
            <w:hideMark/>
          </w:tcPr>
          <w:p w14:paraId="32F9F955"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ADEF2F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473-DG-2020 de la Dirección General del Organismo de Investigación Judicial</w:t>
            </w:r>
          </w:p>
        </w:tc>
      </w:tr>
      <w:tr w:rsidR="00356493" w:rsidRPr="007D27D6" w14:paraId="05B2AF3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A1F186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CJP170</w:t>
            </w:r>
          </w:p>
        </w:tc>
        <w:tc>
          <w:tcPr>
            <w:tcW w:w="688" w:type="dxa"/>
            <w:tcBorders>
              <w:top w:val="nil"/>
              <w:left w:val="nil"/>
              <w:bottom w:val="single" w:sz="4" w:space="0" w:color="auto"/>
              <w:right w:val="single" w:sz="4" w:space="0" w:color="auto"/>
            </w:tcBorders>
            <w:shd w:val="clear" w:color="auto" w:fill="auto"/>
            <w:noWrap/>
            <w:vAlign w:val="center"/>
            <w:hideMark/>
          </w:tcPr>
          <w:p w14:paraId="45F8D34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5CE482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del correo electrónico remitido por la Licenciada Natalia Rodríguez Solís, jueza coordinadora del Juzgado Penal de Pavas, quien solicita aclaración y reconsideración a lo dispuestos en la Circular No. 153-2020 (Allanamientos)</w:t>
            </w:r>
          </w:p>
        </w:tc>
      </w:tr>
      <w:tr w:rsidR="00356493" w:rsidRPr="007D27D6" w14:paraId="658EB8A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2F8FA3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CJP171</w:t>
            </w:r>
          </w:p>
        </w:tc>
        <w:tc>
          <w:tcPr>
            <w:tcW w:w="688" w:type="dxa"/>
            <w:tcBorders>
              <w:top w:val="nil"/>
              <w:left w:val="nil"/>
              <w:bottom w:val="single" w:sz="4" w:space="0" w:color="auto"/>
              <w:right w:val="single" w:sz="4" w:space="0" w:color="auto"/>
            </w:tcBorders>
            <w:shd w:val="clear" w:color="auto" w:fill="auto"/>
            <w:noWrap/>
            <w:vAlign w:val="center"/>
            <w:hideMark/>
          </w:tcPr>
          <w:p w14:paraId="14A502E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96C29D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Gestión ante el Ministerio de Justicia, por problemas con audiencias orales</w:t>
            </w:r>
          </w:p>
        </w:tc>
      </w:tr>
      <w:tr w:rsidR="00356493" w:rsidRPr="007D27D6" w14:paraId="1CF5012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F4E054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CJP172</w:t>
            </w:r>
          </w:p>
        </w:tc>
        <w:tc>
          <w:tcPr>
            <w:tcW w:w="688" w:type="dxa"/>
            <w:tcBorders>
              <w:top w:val="nil"/>
              <w:left w:val="nil"/>
              <w:bottom w:val="single" w:sz="4" w:space="0" w:color="auto"/>
              <w:right w:val="single" w:sz="4" w:space="0" w:color="auto"/>
            </w:tcBorders>
            <w:shd w:val="clear" w:color="auto" w:fill="auto"/>
            <w:noWrap/>
            <w:vAlign w:val="center"/>
            <w:hideMark/>
          </w:tcPr>
          <w:p w14:paraId="5F2D5A3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9EBFA7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responsabilidad del juez de dejar constancia del remesado.</w:t>
            </w:r>
          </w:p>
        </w:tc>
      </w:tr>
      <w:tr w:rsidR="00356493" w:rsidRPr="007D27D6" w14:paraId="3EE36DC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E38E43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CJP173</w:t>
            </w:r>
          </w:p>
        </w:tc>
        <w:tc>
          <w:tcPr>
            <w:tcW w:w="688" w:type="dxa"/>
            <w:tcBorders>
              <w:top w:val="nil"/>
              <w:left w:val="nil"/>
              <w:bottom w:val="single" w:sz="4" w:space="0" w:color="auto"/>
              <w:right w:val="single" w:sz="4" w:space="0" w:color="auto"/>
            </w:tcBorders>
            <w:shd w:val="clear" w:color="auto" w:fill="auto"/>
            <w:noWrap/>
            <w:vAlign w:val="center"/>
            <w:hideMark/>
          </w:tcPr>
          <w:p w14:paraId="6797152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A133BA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el trámite de las querellas.</w:t>
            </w:r>
          </w:p>
        </w:tc>
      </w:tr>
      <w:tr w:rsidR="00356493" w:rsidRPr="007D27D6" w14:paraId="32EFBB0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5F6258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CJP174</w:t>
            </w:r>
          </w:p>
        </w:tc>
        <w:tc>
          <w:tcPr>
            <w:tcW w:w="688" w:type="dxa"/>
            <w:tcBorders>
              <w:top w:val="nil"/>
              <w:left w:val="nil"/>
              <w:bottom w:val="single" w:sz="4" w:space="0" w:color="auto"/>
              <w:right w:val="single" w:sz="4" w:space="0" w:color="auto"/>
            </w:tcBorders>
            <w:shd w:val="clear" w:color="auto" w:fill="auto"/>
            <w:noWrap/>
            <w:vAlign w:val="center"/>
            <w:hideMark/>
          </w:tcPr>
          <w:p w14:paraId="3F0BAB6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DBA6634"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623-PLA-EV-2020, en atención al oficio CJP034-2020</w:t>
            </w:r>
          </w:p>
        </w:tc>
      </w:tr>
      <w:tr w:rsidR="00356493" w:rsidRPr="007D27D6" w14:paraId="438BD85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1E7934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CJP175</w:t>
            </w:r>
          </w:p>
        </w:tc>
        <w:tc>
          <w:tcPr>
            <w:tcW w:w="688" w:type="dxa"/>
            <w:tcBorders>
              <w:top w:val="nil"/>
              <w:left w:val="nil"/>
              <w:bottom w:val="single" w:sz="4" w:space="0" w:color="auto"/>
              <w:right w:val="single" w:sz="4" w:space="0" w:color="auto"/>
            </w:tcBorders>
            <w:shd w:val="clear" w:color="auto" w:fill="auto"/>
            <w:noWrap/>
            <w:vAlign w:val="center"/>
            <w:hideMark/>
          </w:tcPr>
          <w:p w14:paraId="1C08DA9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AB597C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incorporación de delitos del tipo de infracción al código electoral</w:t>
            </w:r>
          </w:p>
        </w:tc>
      </w:tr>
      <w:tr w:rsidR="00356493" w:rsidRPr="007D27D6" w14:paraId="0DE29798"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6F6C2B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CJP176</w:t>
            </w:r>
          </w:p>
        </w:tc>
        <w:tc>
          <w:tcPr>
            <w:tcW w:w="688" w:type="dxa"/>
            <w:tcBorders>
              <w:top w:val="nil"/>
              <w:left w:val="nil"/>
              <w:bottom w:val="single" w:sz="4" w:space="0" w:color="auto"/>
              <w:right w:val="single" w:sz="4" w:space="0" w:color="auto"/>
            </w:tcBorders>
            <w:shd w:val="clear" w:color="auto" w:fill="auto"/>
            <w:noWrap/>
            <w:vAlign w:val="center"/>
            <w:hideMark/>
          </w:tcPr>
          <w:p w14:paraId="2399BDA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C0D863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 la validez de la firma digital</w:t>
            </w:r>
          </w:p>
        </w:tc>
      </w:tr>
      <w:tr w:rsidR="00356493" w:rsidRPr="007D27D6" w14:paraId="0DA83A7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8DE4AC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CJP177</w:t>
            </w:r>
          </w:p>
        </w:tc>
        <w:tc>
          <w:tcPr>
            <w:tcW w:w="688" w:type="dxa"/>
            <w:tcBorders>
              <w:top w:val="nil"/>
              <w:left w:val="nil"/>
              <w:bottom w:val="single" w:sz="4" w:space="0" w:color="auto"/>
              <w:right w:val="single" w:sz="4" w:space="0" w:color="auto"/>
            </w:tcBorders>
            <w:shd w:val="clear" w:color="auto" w:fill="auto"/>
            <w:noWrap/>
            <w:vAlign w:val="center"/>
            <w:hideMark/>
          </w:tcPr>
          <w:p w14:paraId="12E6B23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74FDB9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1102-PLA-OI-2020 rediseño del Proceso Penal del Juzgado Penal de Talamanca</w:t>
            </w:r>
          </w:p>
        </w:tc>
      </w:tr>
      <w:tr w:rsidR="00356493" w:rsidRPr="007D27D6" w14:paraId="7CAE843B"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9D80F2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CJP178</w:t>
            </w:r>
          </w:p>
        </w:tc>
        <w:tc>
          <w:tcPr>
            <w:tcW w:w="688" w:type="dxa"/>
            <w:tcBorders>
              <w:top w:val="nil"/>
              <w:left w:val="nil"/>
              <w:bottom w:val="single" w:sz="4" w:space="0" w:color="auto"/>
              <w:right w:val="single" w:sz="4" w:space="0" w:color="auto"/>
            </w:tcBorders>
            <w:shd w:val="clear" w:color="auto" w:fill="auto"/>
            <w:noWrap/>
            <w:vAlign w:val="center"/>
            <w:hideMark/>
          </w:tcPr>
          <w:p w14:paraId="40C9DA74"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ACE701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inconvenientes en el Tribunal Penal de Pavas, para la realización de audiencias.</w:t>
            </w:r>
          </w:p>
        </w:tc>
      </w:tr>
      <w:tr w:rsidR="00356493" w:rsidRPr="007D27D6" w14:paraId="1C4BD5A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E13CAE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CJP179</w:t>
            </w:r>
          </w:p>
        </w:tc>
        <w:tc>
          <w:tcPr>
            <w:tcW w:w="688" w:type="dxa"/>
            <w:tcBorders>
              <w:top w:val="nil"/>
              <w:left w:val="nil"/>
              <w:bottom w:val="single" w:sz="4" w:space="0" w:color="auto"/>
              <w:right w:val="single" w:sz="4" w:space="0" w:color="auto"/>
            </w:tcBorders>
            <w:shd w:val="clear" w:color="auto" w:fill="auto"/>
            <w:noWrap/>
            <w:vAlign w:val="center"/>
            <w:hideMark/>
          </w:tcPr>
          <w:p w14:paraId="685B3F4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F9683D2"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circular 140-2020 y el Circuito judicial de San Carlos.</w:t>
            </w:r>
          </w:p>
        </w:tc>
      </w:tr>
      <w:tr w:rsidR="00356493" w:rsidRPr="007D27D6" w14:paraId="565F2DB3"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4500A4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CJP180</w:t>
            </w:r>
          </w:p>
        </w:tc>
        <w:tc>
          <w:tcPr>
            <w:tcW w:w="688" w:type="dxa"/>
            <w:tcBorders>
              <w:top w:val="nil"/>
              <w:left w:val="nil"/>
              <w:bottom w:val="single" w:sz="4" w:space="0" w:color="auto"/>
              <w:right w:val="single" w:sz="4" w:space="0" w:color="auto"/>
            </w:tcBorders>
            <w:shd w:val="clear" w:color="auto" w:fill="auto"/>
            <w:noWrap/>
            <w:vAlign w:val="center"/>
            <w:hideMark/>
          </w:tcPr>
          <w:p w14:paraId="2DA7693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A7C1C87"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medidas cautelares de personas beneficiarias poblaciones indígenas</w:t>
            </w:r>
          </w:p>
        </w:tc>
      </w:tr>
      <w:tr w:rsidR="00356493" w:rsidRPr="007D27D6" w14:paraId="139BD6BF"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C6910E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CJP181</w:t>
            </w:r>
          </w:p>
        </w:tc>
        <w:tc>
          <w:tcPr>
            <w:tcW w:w="688" w:type="dxa"/>
            <w:tcBorders>
              <w:top w:val="nil"/>
              <w:left w:val="nil"/>
              <w:bottom w:val="single" w:sz="4" w:space="0" w:color="auto"/>
              <w:right w:val="single" w:sz="4" w:space="0" w:color="auto"/>
            </w:tcBorders>
            <w:shd w:val="clear" w:color="auto" w:fill="auto"/>
            <w:noWrap/>
            <w:vAlign w:val="center"/>
            <w:hideMark/>
          </w:tcPr>
          <w:p w14:paraId="05B9745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6AFDC1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1071-PLA-OI-2020 sobre rediseño del modelo penal del Tribunal de Limón.</w:t>
            </w:r>
          </w:p>
        </w:tc>
      </w:tr>
      <w:tr w:rsidR="00356493" w:rsidRPr="007D27D6" w14:paraId="2E5D765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C8A162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CJP182</w:t>
            </w:r>
          </w:p>
        </w:tc>
        <w:tc>
          <w:tcPr>
            <w:tcW w:w="688" w:type="dxa"/>
            <w:tcBorders>
              <w:top w:val="nil"/>
              <w:left w:val="nil"/>
              <w:bottom w:val="single" w:sz="4" w:space="0" w:color="auto"/>
              <w:right w:val="single" w:sz="4" w:space="0" w:color="auto"/>
            </w:tcBorders>
            <w:shd w:val="clear" w:color="auto" w:fill="auto"/>
            <w:noWrap/>
            <w:vAlign w:val="center"/>
            <w:hideMark/>
          </w:tcPr>
          <w:p w14:paraId="3881D6C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81951A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7382-2020 integrar juez contravencional a la Comisión.</w:t>
            </w:r>
          </w:p>
        </w:tc>
      </w:tr>
      <w:tr w:rsidR="00356493" w:rsidRPr="007D27D6" w14:paraId="3150B81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290B95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CJP183</w:t>
            </w:r>
          </w:p>
        </w:tc>
        <w:tc>
          <w:tcPr>
            <w:tcW w:w="688" w:type="dxa"/>
            <w:tcBorders>
              <w:top w:val="nil"/>
              <w:left w:val="nil"/>
              <w:bottom w:val="single" w:sz="4" w:space="0" w:color="auto"/>
              <w:right w:val="single" w:sz="4" w:space="0" w:color="auto"/>
            </w:tcBorders>
            <w:shd w:val="clear" w:color="auto" w:fill="auto"/>
            <w:noWrap/>
            <w:vAlign w:val="center"/>
            <w:hideMark/>
          </w:tcPr>
          <w:p w14:paraId="15226BF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49488C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1219-PLA-2020 sobre movimientos de trabajo de Tribunales de Apelación de Sentencia durante el 2019 y el último quinquenio.</w:t>
            </w:r>
          </w:p>
        </w:tc>
      </w:tr>
      <w:tr w:rsidR="00356493" w:rsidRPr="007D27D6" w14:paraId="06BF334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0B2931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CJP184</w:t>
            </w:r>
          </w:p>
        </w:tc>
        <w:tc>
          <w:tcPr>
            <w:tcW w:w="688" w:type="dxa"/>
            <w:tcBorders>
              <w:top w:val="nil"/>
              <w:left w:val="nil"/>
              <w:bottom w:val="single" w:sz="4" w:space="0" w:color="auto"/>
              <w:right w:val="single" w:sz="4" w:space="0" w:color="auto"/>
            </w:tcBorders>
            <w:shd w:val="clear" w:color="auto" w:fill="auto"/>
            <w:noWrap/>
            <w:vAlign w:val="center"/>
            <w:hideMark/>
          </w:tcPr>
          <w:p w14:paraId="5DC07E5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CBBABEB"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Ley de Registro y Archivo Judicial.</w:t>
            </w:r>
          </w:p>
        </w:tc>
      </w:tr>
      <w:tr w:rsidR="00356493" w:rsidRPr="007D27D6" w14:paraId="5058A2B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01F33F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CJP185</w:t>
            </w:r>
          </w:p>
        </w:tc>
        <w:tc>
          <w:tcPr>
            <w:tcW w:w="688" w:type="dxa"/>
            <w:tcBorders>
              <w:top w:val="nil"/>
              <w:left w:val="nil"/>
              <w:bottom w:val="single" w:sz="4" w:space="0" w:color="auto"/>
              <w:right w:val="single" w:sz="4" w:space="0" w:color="auto"/>
            </w:tcBorders>
            <w:shd w:val="clear" w:color="auto" w:fill="auto"/>
            <w:noWrap/>
            <w:vAlign w:val="center"/>
            <w:hideMark/>
          </w:tcPr>
          <w:p w14:paraId="781A3AC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14E351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66-CACMFJ-ACM-2020, del mismo Centro, mediante el cual remiten el informe sobre las labores desempeñadas por los despachos jurisdiccionales en el marco de la pandemia, en seguimiento de la gestión que realiza la materia contravencional</w:t>
            </w:r>
          </w:p>
        </w:tc>
      </w:tr>
      <w:tr w:rsidR="00356493" w:rsidRPr="007D27D6" w14:paraId="480CB13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367A9C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CJP186</w:t>
            </w:r>
          </w:p>
        </w:tc>
        <w:tc>
          <w:tcPr>
            <w:tcW w:w="688" w:type="dxa"/>
            <w:tcBorders>
              <w:top w:val="nil"/>
              <w:left w:val="nil"/>
              <w:bottom w:val="single" w:sz="4" w:space="0" w:color="auto"/>
              <w:right w:val="single" w:sz="4" w:space="0" w:color="auto"/>
            </w:tcBorders>
            <w:shd w:val="clear" w:color="auto" w:fill="auto"/>
            <w:noWrap/>
            <w:vAlign w:val="center"/>
            <w:hideMark/>
          </w:tcPr>
          <w:p w14:paraId="6AEA6E25"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E907CB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 xml:space="preserve">Criterio de la Comisión </w:t>
            </w:r>
            <w:r w:rsidRPr="00B272C9">
              <w:rPr>
                <w:rFonts w:ascii="Arial" w:eastAsia="Times New Roman" w:hAnsi="Arial" w:cs="Arial"/>
                <w:color w:val="000000"/>
                <w:sz w:val="20"/>
                <w:szCs w:val="20"/>
                <w:lang w:eastAsia="es-CR"/>
              </w:rPr>
              <w:t>Oficio 695-ODCV-20, de la Oficina de Defensa Civil de las Víctimas I CJ San José, mediante el cual remite solicitud de aclaración en cuanto al acto conclusivo- requerimiento fiscal según artículo 114 del C.P.P., Ingreso el 12-08-2020</w:t>
            </w:r>
          </w:p>
        </w:tc>
      </w:tr>
      <w:tr w:rsidR="00356493" w:rsidRPr="007D27D6" w14:paraId="47C2BE4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9F7BB8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CJP188</w:t>
            </w:r>
          </w:p>
        </w:tc>
        <w:tc>
          <w:tcPr>
            <w:tcW w:w="688" w:type="dxa"/>
            <w:tcBorders>
              <w:top w:val="nil"/>
              <w:left w:val="nil"/>
              <w:bottom w:val="single" w:sz="4" w:space="0" w:color="auto"/>
              <w:right w:val="single" w:sz="4" w:space="0" w:color="auto"/>
            </w:tcBorders>
            <w:shd w:val="clear" w:color="auto" w:fill="auto"/>
            <w:noWrap/>
            <w:vAlign w:val="center"/>
            <w:hideMark/>
          </w:tcPr>
          <w:p w14:paraId="1FE16855"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56C534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informe 1231-PLA-2020, sobre el movimiento de trabajo de los juzgados competentes del MP.</w:t>
            </w:r>
          </w:p>
        </w:tc>
      </w:tr>
      <w:tr w:rsidR="00356493" w:rsidRPr="007D27D6" w14:paraId="6C30C8CF"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50B7A1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CJP189</w:t>
            </w:r>
          </w:p>
        </w:tc>
        <w:tc>
          <w:tcPr>
            <w:tcW w:w="688" w:type="dxa"/>
            <w:tcBorders>
              <w:top w:val="nil"/>
              <w:left w:val="nil"/>
              <w:bottom w:val="single" w:sz="4" w:space="0" w:color="auto"/>
              <w:right w:val="single" w:sz="4" w:space="0" w:color="auto"/>
            </w:tcBorders>
            <w:shd w:val="clear" w:color="auto" w:fill="auto"/>
            <w:noWrap/>
            <w:vAlign w:val="center"/>
            <w:hideMark/>
          </w:tcPr>
          <w:p w14:paraId="7456E62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4C8F376"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 xml:space="preserve">Criterio de la comisión sobre informe 1281-PLA-ES-2020, sobre movimiento de trabajo de los juzgados contravencionales 2019 y el </w:t>
            </w:r>
            <w:proofErr w:type="spellStart"/>
            <w:r w:rsidRPr="00B272C9">
              <w:rPr>
                <w:rFonts w:ascii="Arial" w:eastAsia="Times New Roman" w:hAnsi="Arial" w:cs="Arial"/>
                <w:color w:val="000000"/>
                <w:lang w:eastAsia="es-CR"/>
              </w:rPr>
              <w:t>ultimo</w:t>
            </w:r>
            <w:proofErr w:type="spellEnd"/>
            <w:r w:rsidRPr="00B272C9">
              <w:rPr>
                <w:rFonts w:ascii="Arial" w:eastAsia="Times New Roman" w:hAnsi="Arial" w:cs="Arial"/>
                <w:color w:val="000000"/>
                <w:lang w:eastAsia="es-CR"/>
              </w:rPr>
              <w:t xml:space="preserve"> quinquenio.</w:t>
            </w:r>
          </w:p>
        </w:tc>
      </w:tr>
      <w:tr w:rsidR="00356493" w:rsidRPr="007D27D6" w14:paraId="5B9F224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694B05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CJP190</w:t>
            </w:r>
          </w:p>
        </w:tc>
        <w:tc>
          <w:tcPr>
            <w:tcW w:w="688" w:type="dxa"/>
            <w:tcBorders>
              <w:top w:val="nil"/>
              <w:left w:val="nil"/>
              <w:bottom w:val="single" w:sz="4" w:space="0" w:color="auto"/>
              <w:right w:val="single" w:sz="4" w:space="0" w:color="auto"/>
            </w:tcBorders>
            <w:shd w:val="clear" w:color="auto" w:fill="auto"/>
            <w:noWrap/>
            <w:vAlign w:val="center"/>
            <w:hideMark/>
          </w:tcPr>
          <w:p w14:paraId="313D353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42E9F3A"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 xml:space="preserve">Criterio de la Comisión sobre </w:t>
            </w:r>
            <w:r w:rsidRPr="00B272C9">
              <w:rPr>
                <w:rFonts w:ascii="Arial" w:eastAsia="Times New Roman" w:hAnsi="Arial" w:cs="Arial"/>
                <w:color w:val="000000"/>
                <w:sz w:val="20"/>
                <w:szCs w:val="20"/>
                <w:lang w:eastAsia="es-CR"/>
              </w:rPr>
              <w:t>Correo de la Mag. Damaris Vargas Vásquez, sobre distorsiones sobre el abordaje del tema relacionado con "recuperación de tierras por parte de las personas indígenas", solicita el criterio de la Comisión. Ingreso el 26-08-2020</w:t>
            </w:r>
          </w:p>
        </w:tc>
      </w:tr>
      <w:tr w:rsidR="00356493" w:rsidRPr="007D27D6" w14:paraId="7DB21F2A"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2F3C09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CJP191</w:t>
            </w:r>
          </w:p>
        </w:tc>
        <w:tc>
          <w:tcPr>
            <w:tcW w:w="688" w:type="dxa"/>
            <w:tcBorders>
              <w:top w:val="nil"/>
              <w:left w:val="nil"/>
              <w:bottom w:val="single" w:sz="4" w:space="0" w:color="auto"/>
              <w:right w:val="single" w:sz="4" w:space="0" w:color="auto"/>
            </w:tcBorders>
            <w:shd w:val="clear" w:color="auto" w:fill="auto"/>
            <w:noWrap/>
            <w:vAlign w:val="center"/>
            <w:hideMark/>
          </w:tcPr>
          <w:p w14:paraId="5C30017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8B4732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 xml:space="preserve">Respuesta a don Walter de </w:t>
            </w:r>
            <w:r w:rsidRPr="00B272C9">
              <w:rPr>
                <w:rFonts w:ascii="Arial" w:eastAsia="Times New Roman" w:hAnsi="Arial" w:cs="Arial"/>
                <w:color w:val="000000"/>
                <w:sz w:val="20"/>
                <w:szCs w:val="20"/>
                <w:lang w:eastAsia="es-CR"/>
              </w:rPr>
              <w:t>Oficio 671-SG/OIJ-2020 de la Dirección del OIJ, mediante el cual comunican problemática con el Ministerio de Justicia, por la no recepción de personas detenidas. Ingreso el 31-08-2020</w:t>
            </w:r>
          </w:p>
        </w:tc>
      </w:tr>
      <w:tr w:rsidR="00356493" w:rsidRPr="007D27D6" w14:paraId="41EE9DCC"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5628E7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CJP192</w:t>
            </w:r>
          </w:p>
        </w:tc>
        <w:tc>
          <w:tcPr>
            <w:tcW w:w="688" w:type="dxa"/>
            <w:tcBorders>
              <w:top w:val="nil"/>
              <w:left w:val="nil"/>
              <w:bottom w:val="single" w:sz="4" w:space="0" w:color="auto"/>
              <w:right w:val="single" w:sz="4" w:space="0" w:color="auto"/>
            </w:tcBorders>
            <w:shd w:val="clear" w:color="auto" w:fill="auto"/>
            <w:noWrap/>
            <w:vAlign w:val="center"/>
            <w:hideMark/>
          </w:tcPr>
          <w:p w14:paraId="2100169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B706565"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relacionado con el “Procedimiento para tratar datos personales en las resoluciones que se publican en Poder Judicial”.</w:t>
            </w:r>
          </w:p>
        </w:tc>
      </w:tr>
      <w:tr w:rsidR="00356493" w:rsidRPr="007D27D6" w14:paraId="4113E73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A28673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CJP195</w:t>
            </w:r>
          </w:p>
        </w:tc>
        <w:tc>
          <w:tcPr>
            <w:tcW w:w="688" w:type="dxa"/>
            <w:tcBorders>
              <w:top w:val="nil"/>
              <w:left w:val="nil"/>
              <w:bottom w:val="single" w:sz="4" w:space="0" w:color="auto"/>
              <w:right w:val="single" w:sz="4" w:space="0" w:color="auto"/>
            </w:tcBorders>
            <w:shd w:val="clear" w:color="auto" w:fill="auto"/>
            <w:noWrap/>
            <w:vAlign w:val="center"/>
            <w:hideMark/>
          </w:tcPr>
          <w:p w14:paraId="7B0D579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9E714C0"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preocupación relacionado con las disposiciones adoptadas por las jurisdicciones administrativas y agrarias, en cuanto a la población indígena.</w:t>
            </w:r>
          </w:p>
        </w:tc>
      </w:tr>
      <w:tr w:rsidR="00356493" w:rsidRPr="007D27D6" w14:paraId="66AB3FAF"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398E35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CJP197</w:t>
            </w:r>
          </w:p>
        </w:tc>
        <w:tc>
          <w:tcPr>
            <w:tcW w:w="688" w:type="dxa"/>
            <w:tcBorders>
              <w:top w:val="nil"/>
              <w:left w:val="nil"/>
              <w:bottom w:val="single" w:sz="4" w:space="0" w:color="auto"/>
              <w:right w:val="single" w:sz="4" w:space="0" w:color="auto"/>
            </w:tcBorders>
            <w:shd w:val="clear" w:color="auto" w:fill="auto"/>
            <w:noWrap/>
            <w:vAlign w:val="center"/>
            <w:hideMark/>
          </w:tcPr>
          <w:p w14:paraId="0B55943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D22AF4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con los proyectos puestos en nuestro conocimiento, sobre la reforma al artículo 69 de la Ley 7786 en relación con el delito de Legitimación de Capitales, así como la creación del tipo penal de proliferación de armas y su destrucción masiva.</w:t>
            </w:r>
          </w:p>
        </w:tc>
      </w:tr>
      <w:tr w:rsidR="00356493" w:rsidRPr="007D27D6" w14:paraId="20CAB4E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2B7176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CJP198</w:t>
            </w:r>
          </w:p>
        </w:tc>
        <w:tc>
          <w:tcPr>
            <w:tcW w:w="688" w:type="dxa"/>
            <w:tcBorders>
              <w:top w:val="nil"/>
              <w:left w:val="nil"/>
              <w:bottom w:val="single" w:sz="4" w:space="0" w:color="auto"/>
              <w:right w:val="single" w:sz="4" w:space="0" w:color="auto"/>
            </w:tcBorders>
            <w:shd w:val="clear" w:color="auto" w:fill="auto"/>
            <w:noWrap/>
            <w:vAlign w:val="center"/>
            <w:hideMark/>
          </w:tcPr>
          <w:p w14:paraId="5508D94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F8447F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Respuesta Informe de continuidad de la Comisión Oficio 7696-2020 de Corte Plena, mediante el cual comunican acuerdo de sesión 42-2020 del 20 de julio del 2020, artículo XVI, en el cual se solicitar a cada una de las Comisiones existentes en la actualidad, informen a esta Corte</w:t>
            </w:r>
          </w:p>
        </w:tc>
      </w:tr>
      <w:tr w:rsidR="00356493" w:rsidRPr="007D27D6" w14:paraId="4AEE504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B8A4B9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CJP199</w:t>
            </w:r>
          </w:p>
        </w:tc>
        <w:tc>
          <w:tcPr>
            <w:tcW w:w="688" w:type="dxa"/>
            <w:tcBorders>
              <w:top w:val="nil"/>
              <w:left w:val="nil"/>
              <w:bottom w:val="single" w:sz="4" w:space="0" w:color="auto"/>
              <w:right w:val="single" w:sz="4" w:space="0" w:color="auto"/>
            </w:tcBorders>
            <w:shd w:val="clear" w:color="auto" w:fill="auto"/>
            <w:noWrap/>
            <w:vAlign w:val="center"/>
            <w:hideMark/>
          </w:tcPr>
          <w:p w14:paraId="2382EBF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70A37C8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del Oficio TZS-OSA-230-2020 del 19 de junio de 2020, de la licenciada Carmen María Rodríguez Monto</w:t>
            </w:r>
          </w:p>
        </w:tc>
      </w:tr>
      <w:tr w:rsidR="00356493" w:rsidRPr="007D27D6" w14:paraId="47557245"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38A2422"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CJP202</w:t>
            </w:r>
          </w:p>
        </w:tc>
        <w:tc>
          <w:tcPr>
            <w:tcW w:w="688" w:type="dxa"/>
            <w:tcBorders>
              <w:top w:val="nil"/>
              <w:left w:val="nil"/>
              <w:bottom w:val="single" w:sz="4" w:space="0" w:color="auto"/>
              <w:right w:val="single" w:sz="4" w:space="0" w:color="auto"/>
            </w:tcBorders>
            <w:shd w:val="clear" w:color="auto" w:fill="auto"/>
            <w:noWrap/>
            <w:vAlign w:val="center"/>
            <w:hideMark/>
          </w:tcPr>
          <w:p w14:paraId="5599079D"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AC5F50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del oficio 764-DG-2020, con respecto a la recepción de privados en centro penitenciarios</w:t>
            </w:r>
          </w:p>
        </w:tc>
      </w:tr>
      <w:tr w:rsidR="00356493" w:rsidRPr="007D27D6" w14:paraId="42CBB5F7"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40D9669"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CJP203</w:t>
            </w:r>
          </w:p>
        </w:tc>
        <w:tc>
          <w:tcPr>
            <w:tcW w:w="688" w:type="dxa"/>
            <w:tcBorders>
              <w:top w:val="nil"/>
              <w:left w:val="nil"/>
              <w:bottom w:val="single" w:sz="4" w:space="0" w:color="auto"/>
              <w:right w:val="single" w:sz="4" w:space="0" w:color="auto"/>
            </w:tcBorders>
            <w:shd w:val="clear" w:color="auto" w:fill="auto"/>
            <w:noWrap/>
            <w:vAlign w:val="center"/>
            <w:hideMark/>
          </w:tcPr>
          <w:p w14:paraId="08500FB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0277A39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 la inconsistencia en las desestimaciones del Tribunal de Cartago.</w:t>
            </w:r>
          </w:p>
        </w:tc>
      </w:tr>
      <w:tr w:rsidR="00356493" w:rsidRPr="007D27D6" w14:paraId="149FEF7D"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C10A3F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CJP205</w:t>
            </w:r>
          </w:p>
        </w:tc>
        <w:tc>
          <w:tcPr>
            <w:tcW w:w="688" w:type="dxa"/>
            <w:tcBorders>
              <w:top w:val="nil"/>
              <w:left w:val="nil"/>
              <w:bottom w:val="single" w:sz="4" w:space="0" w:color="auto"/>
              <w:right w:val="single" w:sz="4" w:space="0" w:color="auto"/>
            </w:tcBorders>
            <w:shd w:val="clear" w:color="auto" w:fill="auto"/>
            <w:noWrap/>
            <w:vAlign w:val="center"/>
            <w:hideMark/>
          </w:tcPr>
          <w:p w14:paraId="456F266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42117EE"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09-2020 criterio del informe 1532-PLA-OI-2020, el seguimiento mensual de las labores realizadas por las oficinas durante la emergencia por Covid-1</w:t>
            </w:r>
          </w:p>
        </w:tc>
      </w:tr>
      <w:tr w:rsidR="00356493" w:rsidRPr="007D27D6" w14:paraId="29874F4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56B342B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CJP206</w:t>
            </w:r>
          </w:p>
        </w:tc>
        <w:tc>
          <w:tcPr>
            <w:tcW w:w="688" w:type="dxa"/>
            <w:tcBorders>
              <w:top w:val="nil"/>
              <w:left w:val="nil"/>
              <w:bottom w:val="single" w:sz="4" w:space="0" w:color="auto"/>
              <w:right w:val="single" w:sz="4" w:space="0" w:color="auto"/>
            </w:tcBorders>
            <w:shd w:val="clear" w:color="auto" w:fill="auto"/>
            <w:noWrap/>
            <w:vAlign w:val="center"/>
            <w:hideMark/>
          </w:tcPr>
          <w:p w14:paraId="361311B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49B6BE8"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sobre oficio 1337-PLA-PE-2020, plan de acción para la continuidad del servicio</w:t>
            </w:r>
          </w:p>
        </w:tc>
      </w:tr>
      <w:tr w:rsidR="00356493" w:rsidRPr="007D27D6" w14:paraId="4E26102E"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6F8AF15"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CJP211</w:t>
            </w:r>
          </w:p>
        </w:tc>
        <w:tc>
          <w:tcPr>
            <w:tcW w:w="688" w:type="dxa"/>
            <w:tcBorders>
              <w:top w:val="nil"/>
              <w:left w:val="nil"/>
              <w:bottom w:val="single" w:sz="4" w:space="0" w:color="auto"/>
              <w:right w:val="single" w:sz="4" w:space="0" w:color="auto"/>
            </w:tcBorders>
            <w:shd w:val="clear" w:color="auto" w:fill="auto"/>
            <w:noWrap/>
            <w:vAlign w:val="center"/>
            <w:hideMark/>
          </w:tcPr>
          <w:p w14:paraId="4D618821"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31B0291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 remite informe de labores 2020 de la Comisión</w:t>
            </w:r>
          </w:p>
        </w:tc>
      </w:tr>
      <w:tr w:rsidR="00356493" w:rsidRPr="007D27D6" w14:paraId="608440A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5479BF7"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CJP213</w:t>
            </w:r>
          </w:p>
        </w:tc>
        <w:tc>
          <w:tcPr>
            <w:tcW w:w="688" w:type="dxa"/>
            <w:tcBorders>
              <w:top w:val="nil"/>
              <w:left w:val="nil"/>
              <w:bottom w:val="single" w:sz="4" w:space="0" w:color="auto"/>
              <w:right w:val="single" w:sz="4" w:space="0" w:color="auto"/>
            </w:tcBorders>
            <w:shd w:val="clear" w:color="auto" w:fill="auto"/>
            <w:noWrap/>
            <w:vAlign w:val="center"/>
            <w:hideMark/>
          </w:tcPr>
          <w:p w14:paraId="473711BF"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6B09D03"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oficio 1613-PLA-ES-2020, personas detenidas, sin sentencia y con sentencia a la orden de Juzgados y Tribunales Penales durante el 2019.</w:t>
            </w:r>
          </w:p>
        </w:tc>
      </w:tr>
      <w:tr w:rsidR="00356493" w:rsidRPr="007D27D6" w14:paraId="55424B35"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4CB101D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CJP214</w:t>
            </w:r>
          </w:p>
        </w:tc>
        <w:tc>
          <w:tcPr>
            <w:tcW w:w="688" w:type="dxa"/>
            <w:tcBorders>
              <w:top w:val="nil"/>
              <w:left w:val="nil"/>
              <w:bottom w:val="single" w:sz="4" w:space="0" w:color="auto"/>
              <w:right w:val="single" w:sz="4" w:space="0" w:color="auto"/>
            </w:tcBorders>
            <w:shd w:val="clear" w:color="auto" w:fill="auto"/>
            <w:noWrap/>
            <w:vAlign w:val="center"/>
            <w:hideMark/>
          </w:tcPr>
          <w:p w14:paraId="3DA141CB"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6E65DFA9"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contravencional daños por peleas entre animales.</w:t>
            </w:r>
          </w:p>
        </w:tc>
      </w:tr>
      <w:tr w:rsidR="00356493" w:rsidRPr="007D27D6" w14:paraId="77C6C076"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6B4C10FC"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CJP215</w:t>
            </w:r>
          </w:p>
        </w:tc>
        <w:tc>
          <w:tcPr>
            <w:tcW w:w="688" w:type="dxa"/>
            <w:tcBorders>
              <w:top w:val="nil"/>
              <w:left w:val="nil"/>
              <w:bottom w:val="single" w:sz="4" w:space="0" w:color="auto"/>
              <w:right w:val="single" w:sz="4" w:space="0" w:color="auto"/>
            </w:tcBorders>
            <w:shd w:val="clear" w:color="auto" w:fill="auto"/>
            <w:noWrap/>
            <w:vAlign w:val="center"/>
            <w:hideMark/>
          </w:tcPr>
          <w:p w14:paraId="6034807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59323FCF"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10-2020 Criterio de la comisión Correo de la señora Jazmín Castillo Cubero Jueza Contravencional de Cartago, de fecha 25-08-2020, solicitando el criterio de la Comisión sobre la definición de competencia funcional, ingreso el 25-08-2020</w:t>
            </w:r>
          </w:p>
        </w:tc>
      </w:tr>
      <w:tr w:rsidR="00356493" w:rsidRPr="007D27D6" w14:paraId="7AFF7E00"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1ED26E0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CJP216</w:t>
            </w:r>
          </w:p>
        </w:tc>
        <w:tc>
          <w:tcPr>
            <w:tcW w:w="688" w:type="dxa"/>
            <w:tcBorders>
              <w:top w:val="nil"/>
              <w:left w:val="nil"/>
              <w:bottom w:val="single" w:sz="4" w:space="0" w:color="auto"/>
              <w:right w:val="single" w:sz="4" w:space="0" w:color="auto"/>
            </w:tcBorders>
            <w:shd w:val="clear" w:color="auto" w:fill="auto"/>
            <w:noWrap/>
            <w:vAlign w:val="center"/>
            <w:hideMark/>
          </w:tcPr>
          <w:p w14:paraId="09D3991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5A52169"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Sesión 10-2020 Criterio de la Comisión Correo del señor José Berlatta Valladares, de fecha 12-10-2020, mediante el cual plantea consulta con respecto a la circular 120-2020 sobre las audiencias virtuales por medio de la plataforma Teams. Ingreso el 12-10-2020</w:t>
            </w:r>
          </w:p>
        </w:tc>
      </w:tr>
      <w:tr w:rsidR="00356493" w:rsidRPr="007D27D6" w14:paraId="793FF6E4"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3691C36E"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CJP217</w:t>
            </w:r>
          </w:p>
        </w:tc>
        <w:tc>
          <w:tcPr>
            <w:tcW w:w="688" w:type="dxa"/>
            <w:tcBorders>
              <w:top w:val="nil"/>
              <w:left w:val="nil"/>
              <w:bottom w:val="single" w:sz="4" w:space="0" w:color="auto"/>
              <w:right w:val="single" w:sz="4" w:space="0" w:color="auto"/>
            </w:tcBorders>
            <w:shd w:val="clear" w:color="auto" w:fill="auto"/>
            <w:noWrap/>
            <w:vAlign w:val="center"/>
            <w:hideMark/>
          </w:tcPr>
          <w:p w14:paraId="11032F80"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242017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Ampliación al oficio CJP147-2020.</w:t>
            </w:r>
          </w:p>
        </w:tc>
      </w:tr>
      <w:tr w:rsidR="00356493" w:rsidRPr="007D27D6" w14:paraId="5AF4FDF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25EF8AE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CJP218</w:t>
            </w:r>
          </w:p>
        </w:tc>
        <w:tc>
          <w:tcPr>
            <w:tcW w:w="688" w:type="dxa"/>
            <w:tcBorders>
              <w:top w:val="nil"/>
              <w:left w:val="nil"/>
              <w:bottom w:val="single" w:sz="4" w:space="0" w:color="auto"/>
              <w:right w:val="single" w:sz="4" w:space="0" w:color="auto"/>
            </w:tcBorders>
            <w:shd w:val="clear" w:color="auto" w:fill="auto"/>
            <w:noWrap/>
            <w:vAlign w:val="center"/>
            <w:hideMark/>
          </w:tcPr>
          <w:p w14:paraId="71B0A658"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20EA636D"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del informe 1893-PLA-MI-OI-2020, relacionado con el abordaje realizado a las oficinas de Flagrancia del Primer y Segundo Circuito Judicial de San José (Defensa Pública – Ministerio Público – Judicatura</w:t>
            </w:r>
          </w:p>
        </w:tc>
      </w:tr>
      <w:tr w:rsidR="00356493" w:rsidRPr="007D27D6" w14:paraId="0FA974E2"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03C02E33"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CJP219</w:t>
            </w:r>
          </w:p>
        </w:tc>
        <w:tc>
          <w:tcPr>
            <w:tcW w:w="688" w:type="dxa"/>
            <w:tcBorders>
              <w:top w:val="nil"/>
              <w:left w:val="nil"/>
              <w:bottom w:val="single" w:sz="4" w:space="0" w:color="auto"/>
              <w:right w:val="single" w:sz="4" w:space="0" w:color="auto"/>
            </w:tcBorders>
            <w:shd w:val="clear" w:color="auto" w:fill="auto"/>
            <w:noWrap/>
            <w:vAlign w:val="center"/>
            <w:hideMark/>
          </w:tcPr>
          <w:p w14:paraId="7EB90DDA"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1C554E4C"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del informe 1629-PLA-ES-2020, relacionado con los movimientos de trabajo en los tribunales penales durante el 2019 y el último quinquenio.</w:t>
            </w:r>
          </w:p>
        </w:tc>
      </w:tr>
      <w:tr w:rsidR="00356493" w:rsidRPr="007D27D6" w14:paraId="03A495E9" w14:textId="77777777" w:rsidTr="00356493">
        <w:trPr>
          <w:trHeight w:val="300"/>
        </w:trPr>
        <w:tc>
          <w:tcPr>
            <w:tcW w:w="1636" w:type="dxa"/>
            <w:tcBorders>
              <w:top w:val="nil"/>
              <w:left w:val="single" w:sz="4" w:space="0" w:color="auto"/>
              <w:bottom w:val="single" w:sz="4" w:space="0" w:color="auto"/>
              <w:right w:val="single" w:sz="4" w:space="0" w:color="auto"/>
            </w:tcBorders>
            <w:shd w:val="clear" w:color="auto" w:fill="auto"/>
            <w:noWrap/>
            <w:vAlign w:val="center"/>
            <w:hideMark/>
          </w:tcPr>
          <w:p w14:paraId="72F5A93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CJP220</w:t>
            </w:r>
          </w:p>
        </w:tc>
        <w:tc>
          <w:tcPr>
            <w:tcW w:w="688" w:type="dxa"/>
            <w:tcBorders>
              <w:top w:val="nil"/>
              <w:left w:val="nil"/>
              <w:bottom w:val="single" w:sz="4" w:space="0" w:color="auto"/>
              <w:right w:val="single" w:sz="4" w:space="0" w:color="auto"/>
            </w:tcBorders>
            <w:shd w:val="clear" w:color="auto" w:fill="auto"/>
            <w:noWrap/>
            <w:vAlign w:val="center"/>
            <w:hideMark/>
          </w:tcPr>
          <w:p w14:paraId="556975C6" w14:textId="77777777" w:rsidR="00356493" w:rsidRPr="00B272C9" w:rsidRDefault="00356493" w:rsidP="00356493">
            <w:pPr>
              <w:spacing w:after="0" w:line="240" w:lineRule="auto"/>
              <w:jc w:val="center"/>
              <w:outlineLvl w:val="0"/>
              <w:rPr>
                <w:rFonts w:ascii="Arial" w:eastAsia="Times New Roman" w:hAnsi="Arial" w:cs="Arial"/>
                <w:color w:val="000000"/>
                <w:lang w:eastAsia="es-CR"/>
              </w:rPr>
            </w:pPr>
            <w:r w:rsidRPr="00B272C9">
              <w:rPr>
                <w:rFonts w:ascii="Arial" w:eastAsia="Times New Roman" w:hAnsi="Arial" w:cs="Arial"/>
                <w:color w:val="000000"/>
                <w:lang w:eastAsia="es-CR"/>
              </w:rPr>
              <w:t>2020</w:t>
            </w:r>
          </w:p>
        </w:tc>
        <w:tc>
          <w:tcPr>
            <w:tcW w:w="7307" w:type="dxa"/>
            <w:tcBorders>
              <w:top w:val="nil"/>
              <w:left w:val="nil"/>
              <w:bottom w:val="single" w:sz="4" w:space="0" w:color="auto"/>
              <w:right w:val="single" w:sz="4" w:space="0" w:color="auto"/>
            </w:tcBorders>
            <w:shd w:val="clear" w:color="auto" w:fill="auto"/>
            <w:noWrap/>
            <w:vAlign w:val="bottom"/>
            <w:hideMark/>
          </w:tcPr>
          <w:p w14:paraId="49D82231" w14:textId="77777777" w:rsidR="00356493" w:rsidRPr="00B272C9" w:rsidRDefault="00356493" w:rsidP="00356493">
            <w:pPr>
              <w:spacing w:after="0" w:line="240" w:lineRule="auto"/>
              <w:jc w:val="both"/>
              <w:outlineLvl w:val="0"/>
              <w:rPr>
                <w:rFonts w:ascii="Arial" w:eastAsia="Times New Roman" w:hAnsi="Arial" w:cs="Arial"/>
                <w:color w:val="000000"/>
                <w:lang w:eastAsia="es-CR"/>
              </w:rPr>
            </w:pPr>
            <w:r w:rsidRPr="00B272C9">
              <w:rPr>
                <w:rFonts w:ascii="Arial" w:eastAsia="Times New Roman" w:hAnsi="Arial" w:cs="Arial"/>
                <w:color w:val="000000"/>
                <w:lang w:eastAsia="es-CR"/>
              </w:rPr>
              <w:t>Criterio de la Comisión al respecto del informe 1935-PLA-EV-2020, relacionado con las secciones de flagrancia para realizar juicios durante el cierre colectivo 2020-2021.</w:t>
            </w:r>
          </w:p>
        </w:tc>
      </w:tr>
    </w:tbl>
    <w:p w14:paraId="30A3ED82" w14:textId="3E356B98" w:rsidR="00356493" w:rsidRPr="00A82FBE" w:rsidRDefault="00356493" w:rsidP="007A4476">
      <w:pPr>
        <w:pStyle w:val="Ttulo1"/>
        <w:numPr>
          <w:ilvl w:val="0"/>
          <w:numId w:val="0"/>
        </w:numPr>
        <w:shd w:val="clear" w:color="auto" w:fill="auto"/>
        <w:spacing w:line="360" w:lineRule="auto"/>
        <w:ind w:left="432"/>
        <w:rPr>
          <w:lang w:val="es-ES"/>
        </w:rPr>
      </w:pPr>
      <w:r w:rsidRPr="00A82FBE">
        <w:rPr>
          <w:lang w:val="es-ES"/>
        </w:rPr>
        <w:t>Reuniones realizadas por la Comisión de la Jurisdicción Penal.</w:t>
      </w:r>
    </w:p>
    <w:p w14:paraId="1BDB66BA" w14:textId="77777777" w:rsidR="00356493" w:rsidRPr="00EE7A41" w:rsidRDefault="00356493" w:rsidP="00356493">
      <w:pPr>
        <w:spacing w:line="360" w:lineRule="auto"/>
        <w:rPr>
          <w:rFonts w:ascii="Arial" w:hAnsi="Arial" w:cs="Arial"/>
          <w:sz w:val="24"/>
          <w:szCs w:val="24"/>
          <w:lang w:val="es-ES"/>
        </w:rPr>
      </w:pPr>
    </w:p>
    <w:p w14:paraId="4B00A085" w14:textId="77777777" w:rsidR="00356493" w:rsidRPr="00EE7A41" w:rsidRDefault="00356493" w:rsidP="00356493">
      <w:pPr>
        <w:spacing w:line="360" w:lineRule="auto"/>
        <w:jc w:val="both"/>
        <w:rPr>
          <w:rFonts w:ascii="Arial" w:hAnsi="Arial" w:cs="Arial"/>
          <w:sz w:val="24"/>
          <w:szCs w:val="24"/>
          <w:lang w:val="es-ES"/>
        </w:rPr>
      </w:pPr>
      <w:r w:rsidRPr="00EE7A41">
        <w:rPr>
          <w:rFonts w:ascii="Arial" w:hAnsi="Arial" w:cs="Arial"/>
          <w:sz w:val="24"/>
          <w:szCs w:val="24"/>
          <w:lang w:val="es-ES"/>
        </w:rPr>
        <w:t>Durante el año 2020, se han realizado un total de período del 1 de julio del 2020 hasta el 18 de diciembre del 2020, se realizaron un total de 14 reuniones, las cuales a continuación se detallan:</w:t>
      </w:r>
    </w:p>
    <w:p w14:paraId="721AFBEF"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01-2020, la cual se llevó a cabo el 31 de enero del 2020.</w:t>
      </w:r>
    </w:p>
    <w:p w14:paraId="103FF610"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02-2020, la cual se llevó a cabo el 21 de febrero del 2020.</w:t>
      </w:r>
    </w:p>
    <w:p w14:paraId="00CF8F92"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con la Dirección de Planificación para atender el tema del rediseño del modelo penal, la cual se llevó a cabo el 5 de marzo del 2020.</w:t>
      </w:r>
    </w:p>
    <w:p w14:paraId="35C379A7"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con compañeros del Ministerio de Justicia y Paz, así como del Centro de Atención Institucional Vilma Curlyn Rivera, para atender la consulta 06-2020 sobre la temática de la lactancia y las privadas de libertad, la cual se llevó a cabo el 10 de marzo del 2020.</w:t>
      </w:r>
    </w:p>
    <w:p w14:paraId="271EDC8E"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03-2020, la cual se llevó a cabo el 16 de abril del 2020.</w:t>
      </w:r>
    </w:p>
    <w:p w14:paraId="65FFED34"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04-2020, la cual se llevó a cabo el 14 de mayo del 2020.</w:t>
      </w:r>
    </w:p>
    <w:p w14:paraId="263BD7E2"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05-2020, la cual se llevó a cabo el 22 de mayo del 2020.</w:t>
      </w:r>
    </w:p>
    <w:p w14:paraId="60D5B378"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06-2020, la cual se llevó a cabo el 10 de julio del 2020.</w:t>
      </w:r>
    </w:p>
    <w:p w14:paraId="0152EF8B"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07-2020, la cual se llevó a cabo el 20 de agosto del 2020.</w:t>
      </w:r>
    </w:p>
    <w:p w14:paraId="65BC5F04"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extraordinaria de coordinación de la Comisión de la Jurisdicción Penal y la Dirección de Planificación, la cual se llevó a cabo el 20 de agosto de 2020.</w:t>
      </w:r>
    </w:p>
    <w:p w14:paraId="06960D26"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08-2020, la cual se llevó a cabo el 25 de setiembre del 2020.</w:t>
      </w:r>
    </w:p>
    <w:p w14:paraId="458330F0"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09-2020, la cual se llevó a cabo el 28 de octubre del 2020.</w:t>
      </w:r>
    </w:p>
    <w:p w14:paraId="54F941A0"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10-2020, la cual se llevó a cabo el 20 de noviembre del 2020.</w:t>
      </w:r>
    </w:p>
    <w:p w14:paraId="79577A2D"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Ordinaria de la Comisión Número 11-2020, la cual se llevó a cabo el 16 de diciembre del 2020.</w:t>
      </w:r>
    </w:p>
    <w:p w14:paraId="2BF7157F"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extraordinaria de coordinación de la Comisión de la Jurisdicción Penal y la Dirección de Planificación, la cual se llevó a cabo el 20 de agosto de 2020.</w:t>
      </w:r>
    </w:p>
    <w:p w14:paraId="41007A6F"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de trabajo con la Dirección de Planificación, la cual se llevó a cabo el 08 de setiembre de 2020.</w:t>
      </w:r>
    </w:p>
    <w:p w14:paraId="4A65D13C"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de trabajo con la Dirección de Planificación, la cual se llevó a cabo el 22 de setiembre de 2020.</w:t>
      </w:r>
    </w:p>
    <w:p w14:paraId="3F18CDA1" w14:textId="77777777" w:rsidR="00356493" w:rsidRPr="00EE7A41" w:rsidRDefault="00356493" w:rsidP="00356493">
      <w:pPr>
        <w:pStyle w:val="Prrafodelista"/>
        <w:numPr>
          <w:ilvl w:val="0"/>
          <w:numId w:val="22"/>
        </w:numPr>
        <w:spacing w:after="160" w:line="360" w:lineRule="auto"/>
        <w:rPr>
          <w:rFonts w:ascii="Arial" w:hAnsi="Arial" w:cs="Arial"/>
          <w:sz w:val="24"/>
          <w:szCs w:val="24"/>
          <w:lang w:val="es-ES"/>
        </w:rPr>
      </w:pPr>
      <w:r w:rsidRPr="00EE7A41">
        <w:rPr>
          <w:rFonts w:ascii="Arial" w:hAnsi="Arial" w:cs="Arial"/>
          <w:sz w:val="24"/>
          <w:szCs w:val="24"/>
          <w:lang w:val="es-ES"/>
        </w:rPr>
        <w:t>Sesión de trabajo con la Dirección de Planificación, la cual se llevó a cabo el 06 de octubre de 2020.</w:t>
      </w:r>
    </w:p>
    <w:p w14:paraId="3595635E" w14:textId="77777777" w:rsidR="00356493" w:rsidRDefault="00356493" w:rsidP="00356493">
      <w:pPr>
        <w:spacing w:after="0" w:line="360" w:lineRule="auto"/>
        <w:rPr>
          <w:rFonts w:ascii="Arial" w:hAnsi="Arial" w:cs="Arial"/>
          <w:sz w:val="24"/>
          <w:szCs w:val="24"/>
          <w:lang w:val="es-ES"/>
        </w:rPr>
      </w:pPr>
    </w:p>
    <w:p w14:paraId="3F11EABC" w14:textId="77777777" w:rsidR="00356493" w:rsidRPr="00EE7A41" w:rsidRDefault="00356493" w:rsidP="00356493">
      <w:pPr>
        <w:spacing w:after="0" w:line="360" w:lineRule="auto"/>
        <w:rPr>
          <w:rFonts w:ascii="Arial" w:hAnsi="Arial" w:cs="Arial"/>
          <w:sz w:val="24"/>
          <w:szCs w:val="24"/>
          <w:lang w:val="es-ES"/>
        </w:rPr>
      </w:pPr>
      <w:r w:rsidRPr="00EE7A41">
        <w:rPr>
          <w:rFonts w:ascii="Arial" w:hAnsi="Arial" w:cs="Arial"/>
          <w:sz w:val="24"/>
          <w:szCs w:val="24"/>
          <w:lang w:val="es-ES"/>
        </w:rPr>
        <w:t>Sesión de trabajo con la Dirección de Planificación, la cual se llevó a cabo el 20 de octubre de 2020</w:t>
      </w:r>
    </w:p>
    <w:p w14:paraId="675F00BB" w14:textId="507DDA01" w:rsidR="00356493" w:rsidRPr="00B645CA" w:rsidRDefault="00356493">
      <w:pPr>
        <w:spacing w:after="0" w:line="240" w:lineRule="auto"/>
        <w:rPr>
          <w:rFonts w:ascii="Arial" w:eastAsia="Times New Roman" w:hAnsi="Arial" w:cs="Arial"/>
          <w:bCs/>
          <w:kern w:val="32"/>
          <w:sz w:val="32"/>
          <w:szCs w:val="32"/>
          <w:lang w:val="es-ES" w:eastAsia="es-ES"/>
        </w:rPr>
      </w:pPr>
    </w:p>
    <w:p w14:paraId="721274BA" w14:textId="77777777" w:rsidR="00B645CA" w:rsidRPr="00B645CA" w:rsidRDefault="00B645CA" w:rsidP="00B645CA">
      <w:pPr>
        <w:spacing w:line="360" w:lineRule="auto"/>
        <w:jc w:val="both"/>
        <w:rPr>
          <w:rFonts w:ascii="Arial" w:hAnsi="Arial" w:cs="Arial"/>
          <w:b/>
          <w:color w:val="000000"/>
          <w:sz w:val="32"/>
          <w:szCs w:val="32"/>
          <w:lang w:eastAsia="es-ES"/>
        </w:rPr>
      </w:pPr>
      <w:r w:rsidRPr="00B645CA">
        <w:rPr>
          <w:rFonts w:ascii="Arial" w:hAnsi="Arial" w:cs="Arial"/>
          <w:b/>
          <w:color w:val="000000"/>
          <w:sz w:val="32"/>
          <w:szCs w:val="32"/>
          <w:lang w:eastAsia="es-ES"/>
        </w:rPr>
        <w:t>18 - Centro Gestor Materia Penal</w:t>
      </w:r>
    </w:p>
    <w:p w14:paraId="756708B0" w14:textId="77777777" w:rsidR="00B645CA" w:rsidRPr="00B645CA" w:rsidRDefault="00B645CA" w:rsidP="00B645CA">
      <w:pPr>
        <w:spacing w:line="360" w:lineRule="auto"/>
        <w:ind w:firstLine="708"/>
        <w:jc w:val="both"/>
        <w:rPr>
          <w:rFonts w:ascii="Arial" w:hAnsi="Arial" w:cs="Arial"/>
          <w:bCs/>
          <w:color w:val="000000"/>
          <w:sz w:val="24"/>
          <w:szCs w:val="24"/>
          <w:lang w:eastAsia="es-ES"/>
        </w:rPr>
      </w:pPr>
      <w:r w:rsidRPr="00B645CA">
        <w:rPr>
          <w:rFonts w:ascii="Arial" w:hAnsi="Arial" w:cs="Arial"/>
          <w:bCs/>
          <w:color w:val="000000"/>
          <w:sz w:val="24"/>
          <w:szCs w:val="24"/>
          <w:lang w:eastAsia="es-ES"/>
        </w:rPr>
        <w:t xml:space="preserve">Desde el Centro Gestor en Materia Penal se ha trabajado junto a la Dirección de Planificación, de la Dirección de Tecnología de la Información, de la Dirección Ejecutiva, con el fin de dar seguimiento a los despachos penales en su funcionamiento en el marco de la emergencia sanitaria decretada por el COVID-19, elaborando una serie de proyectos con el fin de salvaguardar el derecho a la vida y la salud, de los funcionarios judiciales e intervinientes del proceso. </w:t>
      </w:r>
    </w:p>
    <w:p w14:paraId="0CC533B0"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 xml:space="preserve">Se trabajó en la redacción, modificación, y publicación de las circulares: </w:t>
      </w:r>
    </w:p>
    <w:p w14:paraId="045CA236"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57-2020 Disposiciones para el funcionamiento del sistema de justicia penal durante la atención de la emergencia nacional por los riesgos de contagio del virus que ocasiona la enfermedad del Covid-19.</w:t>
      </w:r>
    </w:p>
    <w:p w14:paraId="70C798BA"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58-2020. Se aclara que todo el sistema penal que atiende lo relativo a las personas privadas de libertad continúa en funcionamiento.</w:t>
      </w:r>
    </w:p>
    <w:p w14:paraId="343B10BB"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61-2020 se define el Instrumento de medición a utilizar por los Juzgados, Tribunales Penales, Secciones de Flagrancia, Ejecución de la Pena, Tribunal de Apelación y Sala Tercera, para remitir los informes de labores en modalidad de teletrabajo, que serían la base para que la Dirección de Planificación efectuará el respectivo seguimiento a los despachos de la jurisdicción penal.</w:t>
      </w:r>
    </w:p>
    <w:p w14:paraId="58FDA4D5"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63-2020, que modificó la 52-2020, en el sentido de que todos los órganos jurisdiccionales, administrativos y auxiliares de justicia, deberán mantener la continuidad de los servicios.</w:t>
      </w:r>
    </w:p>
    <w:p w14:paraId="15A9637C"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66-2020, marco regulatorio sobre las medidas a adoptar en el servicio de las personas servidoras del Poder Judicial, en situación de riesgo con motivo de la declaratoria de emergencia.</w:t>
      </w:r>
    </w:p>
    <w:p w14:paraId="1E5A594D"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67-2020, sobre Lineamientos generales para la implementación del acuerdo adoptado por la Corte Plena en sesión extraordinaria N°18-2020, celebrada el 2 de abril de 2020, artículo único.</w:t>
      </w:r>
    </w:p>
    <w:p w14:paraId="0B209CDE"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101-2020 sobre las disposiciones para ir retornando a la normalidad en el sistema de justicia penal en el Poder Judicial.</w:t>
      </w:r>
    </w:p>
    <w:p w14:paraId="7D2EA578"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 xml:space="preserve">Circular 102-2020 Protocolo para la realización de audiencias orales por medios tecnológicos en materia penal, contravencional, ejecución de la pena y penal juvenil. </w:t>
      </w:r>
    </w:p>
    <w:p w14:paraId="018EEEF9"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120-2020 Disposiciones a seguir por los despachos judiciales de materia penal ubicados en las zonas en las que el Poder Ejecutivo ha decretado alerta naranja debido al COVID-19, vigentes durante el lapso en que se mantenga la alerta.</w:t>
      </w:r>
    </w:p>
    <w:p w14:paraId="63727C07"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140-2020. Se definen las circulares aplicables por los despachos judiciales de materia penal ubicados en las zonas en las que el Poder Ejecutivo decrete alerta roja, naranja y amarilla debido al COVID-19, y que serán de acatamiento obligatorio durante el lapso en que se mantenga la alerta</w:t>
      </w:r>
    </w:p>
    <w:p w14:paraId="3A0D13E0"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Circular 153 -2020 en relación con el acuerdo de Corte Plena, sesión N° 42-2020 del 20 de julio de 2020, en atención a la declaratoria de emergencia nacional, debido a la situación de emergencia sanitaria provocada por la enfermedad COVID-19.</w:t>
      </w:r>
    </w:p>
    <w:p w14:paraId="22C05CEE"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w:t>
      </w:r>
      <w:r w:rsidRPr="00B645CA">
        <w:rPr>
          <w:rFonts w:ascii="Arial" w:hAnsi="Arial" w:cs="Arial"/>
          <w:bCs/>
          <w:color w:val="000000"/>
          <w:sz w:val="24"/>
          <w:szCs w:val="24"/>
          <w:lang w:eastAsia="es-ES"/>
        </w:rPr>
        <w:tab/>
        <w:t>243-2020 Asunto: Se modifica el artículo LXXXI del Consejo Superior de la sesión N° 56-2020 del 9 de junio de 2020, únicamente en cuanto a los asuntos que pueden conocer los despachos judiciales en materia penal del país, ubicados en las zonas donde se haya decretado la alerta naranja por parte del Poder Ejecutivo debido al COVID-19.</w:t>
      </w:r>
    </w:p>
    <w:p w14:paraId="731F9BAB"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coordinó con la Dirección de Tecnología de la Información el acondicionamiento de las salas de juicio, para que pudieran realizarse las audiencias por videoconferencia, y que las cámaras móviles puedan captar a los participantes.</w:t>
      </w:r>
    </w:p>
    <w:p w14:paraId="0F49D5B2"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organizaron talleres para la aplicación del Protocolo de audiencias por videoconferencia y capacitación para el uso de la herramienta Teams. Esto en conjunto con la Dirección de Tecnología de la Información.</w:t>
      </w:r>
    </w:p>
    <w:p w14:paraId="41E450B4"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realizó un estudio previo al cierre durante el periodo de Semana Santa, para determinar la forma de trabajo bajo la emergencia sanitaria.</w:t>
      </w:r>
    </w:p>
    <w:p w14:paraId="5C7D0840"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atendieron y evacuaron las consultas de los juzgados y tribunales penales, Ministerio Público y Defensa Púbica a nivel nacional, sobre la forma de trabajo durante la pandemia.</w:t>
      </w:r>
    </w:p>
    <w:p w14:paraId="43B27629"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coordinó el otorgamiento de licencias VDI y VPN para que los funcionarios y funcionarias de la jurisdicción penal pudieran realizar su teletrabajo, y para que el Sistema de Gestión pudiera utilizarse por estas personas.</w:t>
      </w:r>
    </w:p>
    <w:p w14:paraId="306BE6DA"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revisa el protocolo del Ministerio de Justicia y el Ministerio de Salud, sobre realización de audiencias por videoconferencia con personas privadas de libertad, y se enviaron las objeciones al mismo.</w:t>
      </w:r>
    </w:p>
    <w:p w14:paraId="3683F883"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 xml:space="preserve">Se realizaron reuniones con todos los tribunales penales del país para analizar los planes remediales a las audiencias suspendidas por la pandemia, y asuntos de vieja data con poblaciones vulnerables, en especial personas menores de edad. </w:t>
      </w:r>
    </w:p>
    <w:p w14:paraId="7FE17FB8"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dio acompañamiento técnico a la Dirección de Planificación en la validación de las propuestas de rediseño del Primer y Segundo Circuito Judicial de la Zona Atlántica.</w:t>
      </w:r>
    </w:p>
    <w:p w14:paraId="08EDB6A6"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Se brindó criterio técnico en la propuesta de implementación del escritorio virtual en la jurisdicción penal, y se participó en la validación de la mejora tecnológica de control automático de prescripciones.</w:t>
      </w:r>
    </w:p>
    <w:p w14:paraId="2284BB13" w14:textId="77777777" w:rsidR="00B645CA" w:rsidRPr="00B645CA" w:rsidRDefault="00B645CA" w:rsidP="00B645CA">
      <w:pPr>
        <w:spacing w:line="360" w:lineRule="auto"/>
        <w:jc w:val="both"/>
        <w:rPr>
          <w:rFonts w:ascii="Arial" w:hAnsi="Arial" w:cs="Arial"/>
          <w:bCs/>
          <w:color w:val="000000"/>
          <w:sz w:val="24"/>
          <w:szCs w:val="24"/>
          <w:lang w:eastAsia="es-ES"/>
        </w:rPr>
      </w:pPr>
      <w:r w:rsidRPr="00B645CA">
        <w:rPr>
          <w:rFonts w:ascii="Arial" w:hAnsi="Arial" w:cs="Arial"/>
          <w:bCs/>
          <w:color w:val="000000"/>
          <w:sz w:val="24"/>
          <w:szCs w:val="24"/>
          <w:lang w:eastAsia="es-ES"/>
        </w:rPr>
        <w:t xml:space="preserve">Se confeccionan informes para la Comisión Interamericana de Derechos Humanos sobre demandas contra Costa Rica. </w:t>
      </w:r>
    </w:p>
    <w:p w14:paraId="1B2BB36D" w14:textId="77777777" w:rsidR="00381EE8" w:rsidRPr="00B645CA" w:rsidRDefault="00381EE8" w:rsidP="00EE7A41">
      <w:pPr>
        <w:spacing w:before="100" w:beforeAutospacing="1" w:after="142" w:line="360" w:lineRule="auto"/>
        <w:jc w:val="both"/>
        <w:rPr>
          <w:rFonts w:ascii="Arial" w:eastAsia="Times New Roman" w:hAnsi="Arial" w:cs="Arial"/>
          <w:color w:val="000000"/>
          <w:sz w:val="24"/>
          <w:szCs w:val="24"/>
          <w:lang w:eastAsia="es-CR"/>
        </w:rPr>
      </w:pPr>
      <w:r w:rsidRPr="00B645CA">
        <w:rPr>
          <w:rFonts w:ascii="Arial" w:eastAsia="Times New Roman" w:hAnsi="Arial" w:cs="Arial"/>
          <w:color w:val="000000"/>
          <w:sz w:val="24"/>
          <w:szCs w:val="24"/>
          <w:lang w:val="es-ES" w:eastAsia="es-CR"/>
        </w:rPr>
        <w:t xml:space="preserve">Además, desde la Sala de Casación se han coordinado </w:t>
      </w:r>
      <w:r w:rsidRPr="00B645CA">
        <w:rPr>
          <w:rFonts w:ascii="Arial" w:eastAsia="Times New Roman" w:hAnsi="Arial" w:cs="Arial"/>
          <w:color w:val="000000"/>
          <w:sz w:val="24"/>
          <w:szCs w:val="24"/>
          <w:lang w:eastAsia="es-CR"/>
        </w:rPr>
        <w:t>con múltiples oficinas e instituciones, para hacer posible la realización de audiencias y juicios, con la afluencia de gran cantidad de personas presentes, por tratarse de asuntos de trámite complejo o de delincuencia organizada, esto en virtud de la pandemia por covid-19.</w:t>
      </w:r>
    </w:p>
    <w:p w14:paraId="768F1038" w14:textId="77777777" w:rsidR="00381EE8" w:rsidRPr="00B645CA" w:rsidRDefault="00381EE8" w:rsidP="00EE7A41">
      <w:pPr>
        <w:spacing w:before="100" w:beforeAutospacing="1" w:after="142" w:line="360" w:lineRule="auto"/>
        <w:jc w:val="both"/>
        <w:rPr>
          <w:rFonts w:ascii="Arial" w:eastAsia="Times New Roman" w:hAnsi="Arial" w:cs="Arial"/>
          <w:color w:val="000000"/>
          <w:sz w:val="24"/>
          <w:szCs w:val="24"/>
          <w:lang w:eastAsia="es-CR"/>
        </w:rPr>
      </w:pPr>
      <w:r w:rsidRPr="00B645CA">
        <w:rPr>
          <w:rFonts w:ascii="Arial" w:eastAsia="Times New Roman" w:hAnsi="Arial" w:cs="Arial"/>
          <w:color w:val="000000"/>
          <w:sz w:val="24"/>
          <w:szCs w:val="24"/>
          <w:lang w:eastAsia="es-CR"/>
        </w:rPr>
        <w:t>Se realizaron diversas sesiones de trabajo en conjunto con el Ministerio de Relaciones Exteriores para la “</w:t>
      </w:r>
      <w:r w:rsidRPr="00B645CA">
        <w:rPr>
          <w:rFonts w:ascii="Arial" w:eastAsia="Times New Roman" w:hAnsi="Arial" w:cs="Arial"/>
          <w:i/>
          <w:iCs/>
          <w:color w:val="000000"/>
          <w:sz w:val="24"/>
          <w:szCs w:val="24"/>
          <w:lang w:eastAsia="es-CR"/>
        </w:rPr>
        <w:t xml:space="preserve">Campaña para la prohibición de armas letales autónomas” </w:t>
      </w:r>
      <w:r w:rsidRPr="00B645CA">
        <w:rPr>
          <w:rFonts w:ascii="Arial" w:eastAsia="Times New Roman" w:hAnsi="Arial" w:cs="Arial"/>
          <w:color w:val="000000"/>
          <w:sz w:val="24"/>
          <w:szCs w:val="24"/>
          <w:lang w:eastAsia="es-CR"/>
        </w:rPr>
        <w:t xml:space="preserve">liderada por Fundación para la Paz y la Democracia (FUNDADEM). </w:t>
      </w:r>
    </w:p>
    <w:p w14:paraId="696E3A50" w14:textId="77777777" w:rsidR="00381EE8" w:rsidRPr="00B645CA" w:rsidRDefault="00381EE8" w:rsidP="00EE7A41">
      <w:pPr>
        <w:spacing w:before="100" w:beforeAutospacing="1" w:after="0" w:line="360" w:lineRule="auto"/>
        <w:jc w:val="both"/>
        <w:rPr>
          <w:rFonts w:ascii="Arial" w:eastAsia="Times New Roman" w:hAnsi="Arial" w:cs="Arial"/>
          <w:color w:val="000000"/>
          <w:sz w:val="24"/>
          <w:szCs w:val="24"/>
          <w:lang w:eastAsia="es-CR"/>
        </w:rPr>
      </w:pPr>
      <w:r w:rsidRPr="00B645CA">
        <w:rPr>
          <w:rFonts w:ascii="Arial" w:eastAsia="Times New Roman" w:hAnsi="Arial" w:cs="Arial"/>
          <w:color w:val="000000"/>
          <w:sz w:val="24"/>
          <w:szCs w:val="24"/>
          <w:lang w:eastAsia="es-CR"/>
        </w:rPr>
        <w:t>Se trabajó con la Dirección de Planificación, Subproceso de Estadística en la finalización del proyecto de “</w:t>
      </w:r>
      <w:r w:rsidRPr="00B645CA">
        <w:rPr>
          <w:rFonts w:ascii="Arial" w:eastAsia="Times New Roman" w:hAnsi="Arial" w:cs="Arial"/>
          <w:i/>
          <w:iCs/>
          <w:color w:val="000000"/>
          <w:sz w:val="24"/>
          <w:szCs w:val="24"/>
          <w:lang w:eastAsia="es-CR"/>
        </w:rPr>
        <w:t>Clasificación Internacional de Delitos”</w:t>
      </w:r>
      <w:r w:rsidRPr="00B645CA">
        <w:rPr>
          <w:rFonts w:ascii="Arial" w:eastAsia="Times New Roman" w:hAnsi="Arial" w:cs="Arial"/>
          <w:color w:val="000000"/>
          <w:sz w:val="24"/>
          <w:szCs w:val="24"/>
          <w:lang w:eastAsia="es-CR"/>
        </w:rPr>
        <w:t xml:space="preserve">, proyecto que se inició en el año 2019, y finalizó en el año 2020. </w:t>
      </w:r>
    </w:p>
    <w:p w14:paraId="44C00693" w14:textId="77777777" w:rsidR="00381EE8" w:rsidRPr="00B645CA" w:rsidRDefault="00381EE8" w:rsidP="00EE7A41">
      <w:pPr>
        <w:spacing w:before="100" w:beforeAutospacing="1" w:after="0" w:line="360" w:lineRule="auto"/>
        <w:jc w:val="both"/>
        <w:rPr>
          <w:rFonts w:ascii="Arial" w:eastAsia="Times New Roman" w:hAnsi="Arial" w:cs="Arial"/>
          <w:color w:val="000000"/>
          <w:sz w:val="24"/>
          <w:szCs w:val="24"/>
          <w:lang w:eastAsia="es-CR"/>
        </w:rPr>
      </w:pPr>
      <w:r w:rsidRPr="00B645CA">
        <w:rPr>
          <w:rFonts w:ascii="Arial" w:eastAsia="Times New Roman" w:hAnsi="Arial" w:cs="Arial"/>
          <w:color w:val="000000"/>
          <w:sz w:val="24"/>
          <w:szCs w:val="24"/>
          <w:lang w:eastAsia="es-CR"/>
        </w:rPr>
        <w:t>Se ha trabajado desde el mes de julio del 2020 en el la reestructuración y actualización del Centro de Jurisprudencia de la Sala de Casación, ajustándose a las recomendaciones extendidas por el Departamento de Auditoría del Poder Judicial.</w:t>
      </w:r>
    </w:p>
    <w:p w14:paraId="15C90461" w14:textId="3DF4CAB3" w:rsidR="00381EE8" w:rsidRPr="00B645CA" w:rsidRDefault="00381EE8" w:rsidP="00EE7A41">
      <w:pPr>
        <w:spacing w:before="100" w:beforeAutospacing="1" w:after="0" w:line="360" w:lineRule="auto"/>
        <w:jc w:val="both"/>
        <w:rPr>
          <w:rFonts w:ascii="Arial" w:eastAsia="Times New Roman" w:hAnsi="Arial" w:cs="Arial"/>
          <w:color w:val="000000"/>
          <w:sz w:val="24"/>
          <w:szCs w:val="24"/>
          <w:lang w:eastAsia="es-CR"/>
        </w:rPr>
      </w:pPr>
      <w:r w:rsidRPr="00B645CA">
        <w:rPr>
          <w:rFonts w:ascii="Arial" w:eastAsia="Times New Roman" w:hAnsi="Arial" w:cs="Arial"/>
          <w:color w:val="000000"/>
          <w:sz w:val="24"/>
          <w:szCs w:val="24"/>
          <w:lang w:eastAsia="es-CR"/>
        </w:rPr>
        <w:t xml:space="preserve">Se solicitó a la Dirección de Planificación trabajar de manera conjunta en el plan de </w:t>
      </w:r>
      <w:r w:rsidR="003C5F37" w:rsidRPr="00B645CA">
        <w:rPr>
          <w:rFonts w:ascii="Arial" w:eastAsia="Times New Roman" w:hAnsi="Arial" w:cs="Arial"/>
          <w:color w:val="000000"/>
          <w:sz w:val="24"/>
          <w:szCs w:val="24"/>
          <w:lang w:eastAsia="es-CR"/>
        </w:rPr>
        <w:t>rediseño</w:t>
      </w:r>
      <w:r w:rsidRPr="00B645CA">
        <w:rPr>
          <w:rFonts w:ascii="Arial" w:eastAsia="Times New Roman" w:hAnsi="Arial" w:cs="Arial"/>
          <w:color w:val="000000"/>
          <w:sz w:val="24"/>
          <w:szCs w:val="24"/>
          <w:lang w:eastAsia="es-CR"/>
        </w:rPr>
        <w:t xml:space="preserve"> del modelo penal en la Sala de Casación, sin embargo, no se ha logrado finalizar debido a que no se le ha dado el seguimiento oportuno por parte de Planificación.</w:t>
      </w:r>
    </w:p>
    <w:p w14:paraId="5BB9C1F2" w14:textId="1C36C758" w:rsidR="00381EE8" w:rsidRPr="00B645CA" w:rsidRDefault="00381EE8" w:rsidP="00EE7A41">
      <w:pPr>
        <w:spacing w:before="100" w:beforeAutospacing="1" w:after="0" w:line="360" w:lineRule="auto"/>
        <w:jc w:val="both"/>
        <w:rPr>
          <w:rFonts w:ascii="Arial" w:eastAsia="Times New Roman" w:hAnsi="Arial" w:cs="Arial"/>
          <w:color w:val="000000"/>
          <w:sz w:val="24"/>
          <w:szCs w:val="24"/>
          <w:lang w:eastAsia="es-CR"/>
        </w:rPr>
      </w:pPr>
      <w:r w:rsidRPr="00B645CA">
        <w:rPr>
          <w:rFonts w:ascii="Arial" w:eastAsia="Times New Roman" w:hAnsi="Arial" w:cs="Arial"/>
          <w:color w:val="000000"/>
          <w:sz w:val="24"/>
          <w:szCs w:val="24"/>
          <w:lang w:eastAsia="es-CR"/>
        </w:rPr>
        <w:t xml:space="preserve">Y por último, se trabaja en la elaboración del Proyecto 21.800, “Ley de Ejecución de la Pena”, el cual se tramita actualmente en la Asamblea Legislativa. </w:t>
      </w:r>
    </w:p>
    <w:p w14:paraId="3262E229" w14:textId="77777777" w:rsidR="00EE7A41" w:rsidRPr="00A82FBE" w:rsidRDefault="00EE7A41" w:rsidP="00EE7A41">
      <w:pPr>
        <w:pStyle w:val="NormalWeb"/>
        <w:spacing w:before="0" w:beforeAutospacing="0" w:line="360" w:lineRule="auto"/>
        <w:jc w:val="both"/>
        <w:rPr>
          <w:rFonts w:ascii="Arial" w:hAnsi="Arial" w:cs="Arial"/>
          <w:b/>
          <w:bCs/>
          <w:sz w:val="32"/>
          <w:szCs w:val="32"/>
        </w:rPr>
      </w:pPr>
    </w:p>
    <w:p w14:paraId="287D9E4D" w14:textId="2B63322E" w:rsidR="00865557" w:rsidRPr="00EE7A41" w:rsidRDefault="00D77A62" w:rsidP="00A82FBE">
      <w:pPr>
        <w:pStyle w:val="NormalWeb"/>
        <w:spacing w:before="0" w:beforeAutospacing="0" w:line="360" w:lineRule="auto"/>
        <w:jc w:val="both"/>
        <w:rPr>
          <w:rFonts w:ascii="Arial" w:hAnsi="Arial" w:cs="Arial"/>
          <w:b/>
          <w:bCs/>
        </w:rPr>
      </w:pPr>
      <w:r>
        <w:rPr>
          <w:rFonts w:ascii="Arial" w:hAnsi="Arial" w:cs="Arial"/>
          <w:b/>
          <w:bCs/>
          <w:sz w:val="32"/>
          <w:szCs w:val="32"/>
        </w:rPr>
        <w:t>19</w:t>
      </w:r>
      <w:r w:rsidR="00A82FBE" w:rsidRPr="00A82FBE">
        <w:rPr>
          <w:rFonts w:ascii="Arial" w:hAnsi="Arial" w:cs="Arial"/>
          <w:b/>
          <w:bCs/>
          <w:sz w:val="32"/>
          <w:szCs w:val="32"/>
        </w:rPr>
        <w:t xml:space="preserve">- </w:t>
      </w:r>
      <w:r w:rsidR="00865557" w:rsidRPr="00A82FBE">
        <w:rPr>
          <w:rFonts w:ascii="Arial" w:hAnsi="Arial" w:cs="Arial"/>
          <w:b/>
          <w:bCs/>
          <w:sz w:val="32"/>
          <w:szCs w:val="32"/>
        </w:rPr>
        <w:t>Comisión Especial de Supervisión Externa al Centro Judicial de Intervención de las Comunicaciones:</w:t>
      </w:r>
    </w:p>
    <w:p w14:paraId="762EC5EA"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b/>
          <w:bCs/>
          <w:sz w:val="24"/>
          <w:szCs w:val="24"/>
        </w:rPr>
        <w:t>1.</w:t>
      </w:r>
      <w:r w:rsidRPr="00EE7A41">
        <w:rPr>
          <w:rFonts w:ascii="Arial" w:hAnsi="Arial" w:cs="Arial"/>
          <w:sz w:val="24"/>
          <w:szCs w:val="24"/>
        </w:rPr>
        <w:t xml:space="preserve">  Coordinación de las acciones del CJIC, En razón de lo dispuesto por el Consejo Superior en Sesión N° 77-2020 de fecha 05 de agosto de 2020, artículo XVII, el Director del Centro Judicial de Intervención de las Comunicaciones, mediante oficio N° 29-CJIC-2020 de fecha 17 de setiembre de 2020, ante la imposibilidad material de realizar la migración de los servidores, pues no se cuenta con el visto bueno de la DEA para que la empresa e Link colabore en dicho proceso, y al no poder presupuestarse el pago de los servicios por parte del Poder Judicial con la empresa Pen Link por no encontrarse domiciliada en Costa Rica y por no ser el cliente directo de los servicios contratados para el Centro Judicial de Intervención de las Comunicaciones (CJIC),  con el ánimo de dar un buen uso a los equipos tecnológicos que se adquirieron para el CJIC con fondos públicos, procedió con la devolución a la Dirección de Tecnologías de la Información del Poder Judicial, del equipo que se detallará a continuación, ello para que fuera utilizado en otros proyectos del Poder Judicial, con la condición de que cuando estos equipos sean requeridos por el CJIC, se proceda con un nuevo proceso de compra para reponer estos equipos. Los dispositivos que se devolvieron y que ya se encuentran en custodia de la Dirección de Tecnologías de la Información son: i) Storage Hewlett Packard Enterprise modelo 3PAR StoreServ 8200; ii) 5 servidores tipo rack, marca Hewlett Packard modelo DL360; iii) 2 switch Hewlett Packard Enterprise modelo FlexFabric 5710 Switch de 24 puertos. </w:t>
      </w:r>
    </w:p>
    <w:p w14:paraId="7B6B88F5" w14:textId="77777777" w:rsidR="00865557" w:rsidRPr="00EE7A41" w:rsidRDefault="00865557" w:rsidP="00EE7A41">
      <w:pPr>
        <w:spacing w:line="360" w:lineRule="auto"/>
        <w:jc w:val="both"/>
        <w:rPr>
          <w:rFonts w:ascii="Arial" w:hAnsi="Arial" w:cs="Arial"/>
          <w:sz w:val="24"/>
          <w:szCs w:val="24"/>
        </w:rPr>
      </w:pPr>
    </w:p>
    <w:p w14:paraId="67720F05"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sz w:val="24"/>
          <w:szCs w:val="24"/>
        </w:rPr>
        <w:t>2) Adicionalmente, en virtud de que los convenios a través de los cuales el Gobierno de los Estados Unidos de América dotó del equipo tecnológico para el Centro Judicial de Intervención de las Comunicaciones de Costa Rica, se encuentran vencidos desde hace varios años, la Dirección del CJIC junto con la señora Karen Leiva Chavarría, Jefa de la Oficina de Cooperación Internacional del Poder Judicial, iniciaron conversaciones para definir las estrategias con las cuales se llevarán a cabo las negociaciones para que se firmen nuevos convenios de patrocinio, pero estableciendo parámetros claros en cuanto a las necesidades reales del CJIC, según criterios de la DTIC del Poder Judicial, así como eliminar condicionamientos como el de compartir información sensible producto de las intervenciones telefónicas, a fin de que se dé la dotación de equipos, lo cual a todas luces violenta la soberanía costarricense, y es contraria a las disposiciones establecidas en los artículos 24 de la Constitución Política y 9 de la Ley sobre Registro, Secuestro y Examen de Documentos Privados e Intervención de las Comunicaciones. Se reitera que esto apenas se encuentra en una etapa de definición de estrategias, toda vez que se valoran cooperaciones de otros países. De momento, lo que se cuenta es con una comunicación verbal de la DEA en donde informa que para julio de 2021 pretenden actualizar la plataforma tecnológica del CJIC. Sin embargo, se desconocen los alcances de dicha actualización, así como si estos se ajustan a las políticas establecidas por la DTIC del Poder Judicial y a las necesidades que enfrenta el CJIC en la lucha contra la delincuencia organizada. </w:t>
      </w:r>
    </w:p>
    <w:p w14:paraId="1DB721F0" w14:textId="77777777" w:rsidR="00865557" w:rsidRPr="00EE7A41" w:rsidRDefault="00865557" w:rsidP="00EE7A41">
      <w:pPr>
        <w:spacing w:line="360" w:lineRule="auto"/>
        <w:jc w:val="both"/>
        <w:rPr>
          <w:rFonts w:ascii="Arial" w:hAnsi="Arial" w:cs="Arial"/>
          <w:sz w:val="24"/>
          <w:szCs w:val="24"/>
        </w:rPr>
      </w:pPr>
    </w:p>
    <w:p w14:paraId="159DB5FA"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sz w:val="24"/>
          <w:szCs w:val="24"/>
        </w:rPr>
        <w:t>3) Se procedió por parte del CJIC, bajo la asesoría de la DTIC del Poder Judicial, a solicitar la cotización de plataformas tecnológicas para poder ejecutar la intervención de las comunicaciones. Actualmente, se cuenta con las cotizaciones de las empresas Utimaco y Verint, las cuales ofrecen soluciones para la interceptación de las comunicaciones, mejorando las capacidades en el CJIC para la ejecución de las tareas encomendadas por ley, entre ellas, la interceptación de datos, la transcripción en tiempo real, ubicación en tiempo real, y la traducción hasta de cuatro idiomas en tiempo real. Dichas cotizaciones rondan el millón quinientos mil dólares. Aún se está a la espera de otras cotizaciones. En caso de que el Poder Judicial opte por asumir el pago de los sistemas de interceptación, deberá presupuestarse un monto cercano al indicado anteriormente, así como la anualidad de su actualización que ronda los doscientos mil dólares. </w:t>
      </w:r>
    </w:p>
    <w:p w14:paraId="5E5AFDBA" w14:textId="77777777" w:rsidR="00865557" w:rsidRPr="00EE7A41" w:rsidRDefault="00865557" w:rsidP="00EE7A41">
      <w:pPr>
        <w:spacing w:line="360" w:lineRule="auto"/>
        <w:jc w:val="both"/>
        <w:rPr>
          <w:rFonts w:ascii="Arial" w:hAnsi="Arial" w:cs="Arial"/>
          <w:sz w:val="24"/>
          <w:szCs w:val="24"/>
        </w:rPr>
      </w:pPr>
    </w:p>
    <w:p w14:paraId="63C4B477"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sz w:val="24"/>
          <w:szCs w:val="24"/>
        </w:rPr>
        <w:t>4) Siendo que la Ley Contra la Delincuencia Organizada en sus artículos 30 y 36 establece que la plataforma tecnológica del CJIC se actualizará y mantendrá con el 10% de los dineros y valores decomisados y comisados o del producto de bienes invertidos, subastados o rematados, producto de los asuntos de delincuencia organizada, se requirió al Instituto Costarricense sobre Drogas informar sobre el monto que corresponde al Poder Judicial respecto de dichos dineros, siendo que la suma hoy ronda los dieciocho millones de colones, los cuales a todas luces son insuficientes para darle un adecuado mantenimiento a la plataforma tecnológica del CJIC. Esto es así, por cuanto el Ministerio Público, Juzgados Penales y Tribunales de Juicio, no identifican adecuadamente las causas que corresponden a delincuencia organizado, a pesar que para ello ya se cuenta con la respectiva casilla de identificación en los sistemas Gestión y Escritorio Virtual. Además, al momento de depositar los dineros decomisados en las cuentas del ICD la gran mayoría son identificados como Ley N°8204 (Narcotráfico), y no se tiene el debido cuidado de que en aquellos casos de delincuencia organizada se depositen los dineros identificándolos como tales, Ley N° 8754 (Contra la Delincuencia Organizada). </w:t>
      </w:r>
    </w:p>
    <w:p w14:paraId="0C4C28A7"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sz w:val="24"/>
          <w:szCs w:val="24"/>
        </w:rPr>
        <w:br/>
      </w:r>
    </w:p>
    <w:p w14:paraId="60C045F7"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sz w:val="24"/>
          <w:szCs w:val="24"/>
        </w:rPr>
        <w:t>5) Por otra parte, desde la Presidencia de la Corte y la Comisión, se están explorando y analizando otros mecanismos para inyectar recursos para el mantenimiento de la plataforma tecnológica del CJIC. Uno de ellos es proponer una reforma legal a la Ley N° 8642 General de Telecomunicaciones, para que parte de los fondos que administra el Fondo Nacional de Telecomunicaciones (FONATEL), con dineros obtenidos del canon que pagan las operadoras de los servicios telefónicos para la explotación del espectro radioeléctrico, se destinen para el financiamiento del CJIC. Esto apenas se encuentra en estudio de factibilidad y fue acordado en la más reciente rendición de cuentas que realizó el señor Presidente de la Corte, conforme el artículo 14 de la Ley Contra la Delincuencia Organizada. </w:t>
      </w:r>
    </w:p>
    <w:p w14:paraId="483FE559" w14:textId="77777777" w:rsidR="00865557" w:rsidRPr="00EE7A41" w:rsidRDefault="00865557" w:rsidP="00EE7A41">
      <w:pPr>
        <w:spacing w:line="360" w:lineRule="auto"/>
        <w:jc w:val="both"/>
        <w:rPr>
          <w:rFonts w:ascii="Arial" w:hAnsi="Arial" w:cs="Arial"/>
          <w:sz w:val="24"/>
          <w:szCs w:val="24"/>
        </w:rPr>
      </w:pPr>
      <w:r w:rsidRPr="00EE7A41">
        <w:rPr>
          <w:rFonts w:ascii="Arial" w:hAnsi="Arial" w:cs="Arial"/>
          <w:sz w:val="24"/>
          <w:szCs w:val="24"/>
        </w:rPr>
        <w:t>6) Así las cosas, se puede observar que se han venido desarrollado ingentes esfuerzos por parte del Poder Judicial, sea la Comisión, el CJIC, DTIC, Presidencia de la Corte y la Comisión Externa que da Supervisión al CJIC, con el ánimo de subsanar las necesidades que enfrenta tan importante oficina del Poder Judicial en la lucha contra la delincuencia organizada.</w:t>
      </w:r>
    </w:p>
    <w:p w14:paraId="01DCA283" w14:textId="67518133" w:rsidR="008247EF" w:rsidRDefault="00A82FBE" w:rsidP="00EE7A41">
      <w:pPr>
        <w:spacing w:line="360" w:lineRule="auto"/>
        <w:jc w:val="both"/>
        <w:rPr>
          <w:rFonts w:ascii="Arial" w:hAnsi="Arial" w:cs="Arial"/>
          <w:sz w:val="24"/>
          <w:szCs w:val="24"/>
        </w:rPr>
      </w:pPr>
      <w:r>
        <w:rPr>
          <w:rFonts w:ascii="Arial" w:hAnsi="Arial" w:cs="Arial"/>
          <w:sz w:val="24"/>
          <w:szCs w:val="24"/>
        </w:rPr>
        <w:t>7</w:t>
      </w:r>
      <w:r w:rsidR="00865557" w:rsidRPr="00EE7A41">
        <w:rPr>
          <w:rFonts w:ascii="Arial" w:hAnsi="Arial" w:cs="Arial"/>
          <w:sz w:val="24"/>
          <w:szCs w:val="24"/>
        </w:rPr>
        <w:t>) Consideramos que la información relacionada al Centro Judicial de Intervención de las Comunicaciones, es de carácter sensible, y por tanto, se le debe dar un trato confidencial.</w:t>
      </w:r>
      <w:bookmarkStart w:id="48" w:name="_Toc510690334"/>
      <w:bookmarkEnd w:id="46"/>
    </w:p>
    <w:p w14:paraId="7BA02112" w14:textId="77777777" w:rsidR="008247EF" w:rsidRDefault="008247EF" w:rsidP="00EE7A41">
      <w:pPr>
        <w:spacing w:line="360" w:lineRule="auto"/>
        <w:jc w:val="both"/>
        <w:rPr>
          <w:rFonts w:ascii="Arial" w:hAnsi="Arial" w:cs="Arial"/>
          <w:sz w:val="24"/>
          <w:szCs w:val="24"/>
        </w:rPr>
      </w:pPr>
    </w:p>
    <w:p w14:paraId="2965C41B" w14:textId="77777777" w:rsidR="008247EF" w:rsidRPr="008247EF" w:rsidRDefault="008247EF" w:rsidP="008247EF">
      <w:pPr>
        <w:spacing w:line="360" w:lineRule="auto"/>
        <w:jc w:val="center"/>
        <w:rPr>
          <w:rFonts w:ascii="Arial" w:hAnsi="Arial" w:cs="Arial"/>
          <w:b/>
          <w:bCs/>
          <w:sz w:val="32"/>
          <w:szCs w:val="32"/>
        </w:rPr>
      </w:pPr>
    </w:p>
    <w:p w14:paraId="454A1E85" w14:textId="77777777" w:rsidR="008247EF" w:rsidRDefault="008247EF">
      <w:pPr>
        <w:spacing w:after="0" w:line="240" w:lineRule="auto"/>
        <w:rPr>
          <w:b/>
          <w:bCs/>
          <w:sz w:val="32"/>
          <w:szCs w:val="32"/>
        </w:rPr>
      </w:pPr>
      <w:r>
        <w:rPr>
          <w:b/>
          <w:bCs/>
          <w:sz w:val="32"/>
          <w:szCs w:val="32"/>
        </w:rPr>
        <w:br w:type="page"/>
      </w:r>
    </w:p>
    <w:p w14:paraId="16A3BCEC" w14:textId="68F30FCA" w:rsidR="003C5320" w:rsidRPr="008247EF" w:rsidRDefault="00812DB2" w:rsidP="008247EF">
      <w:pPr>
        <w:spacing w:line="360" w:lineRule="auto"/>
        <w:jc w:val="center"/>
        <w:rPr>
          <w:b/>
          <w:bCs/>
          <w:sz w:val="40"/>
          <w:szCs w:val="40"/>
        </w:rPr>
      </w:pPr>
      <w:r w:rsidRPr="008247EF">
        <w:rPr>
          <w:b/>
          <w:bCs/>
          <w:sz w:val="40"/>
          <w:szCs w:val="40"/>
        </w:rPr>
        <w:t>AGRADECIMIENTO</w:t>
      </w:r>
      <w:bookmarkEnd w:id="48"/>
    </w:p>
    <w:p w14:paraId="22937065" w14:textId="6C14D7B4" w:rsidR="00812DB2" w:rsidRPr="00BB53C0" w:rsidRDefault="00812DB2" w:rsidP="002A12BB">
      <w:pPr>
        <w:spacing w:line="360" w:lineRule="auto"/>
        <w:jc w:val="both"/>
        <w:rPr>
          <w:rFonts w:ascii="Arial" w:hAnsi="Arial" w:cs="Arial"/>
          <w:sz w:val="24"/>
          <w:szCs w:val="24"/>
          <w:lang w:val="es-ES"/>
        </w:rPr>
      </w:pPr>
      <w:r w:rsidRPr="00BB53C0">
        <w:rPr>
          <w:rFonts w:ascii="Arial" w:hAnsi="Arial" w:cs="Arial"/>
          <w:sz w:val="24"/>
          <w:szCs w:val="24"/>
          <w:lang w:val="es-ES"/>
        </w:rPr>
        <w:tab/>
        <w:t xml:space="preserve">La Presidencia de la Sala de Casación Penal </w:t>
      </w:r>
      <w:r w:rsidR="00826C60">
        <w:rPr>
          <w:rFonts w:ascii="Arial" w:hAnsi="Arial" w:cs="Arial"/>
          <w:sz w:val="24"/>
          <w:szCs w:val="24"/>
          <w:lang w:val="es-ES"/>
        </w:rPr>
        <w:t xml:space="preserve">externa un profundo </w:t>
      </w:r>
      <w:r w:rsidRPr="00BB53C0">
        <w:rPr>
          <w:rFonts w:ascii="Arial" w:hAnsi="Arial" w:cs="Arial"/>
          <w:sz w:val="24"/>
          <w:szCs w:val="24"/>
          <w:lang w:val="es-ES"/>
        </w:rPr>
        <w:t xml:space="preserve">agradecimiento a las Magistradas y Magistrados titulares como suplentes, a las Letradas y Letrados, al personal de apoyo, así como a los miembros de las diferentes Comisiones y Programas adscritos a esta Sala, </w:t>
      </w:r>
      <w:r w:rsidR="002E4270">
        <w:rPr>
          <w:rFonts w:ascii="Arial" w:hAnsi="Arial" w:cs="Arial"/>
          <w:sz w:val="24"/>
          <w:szCs w:val="24"/>
          <w:lang w:val="es-ES"/>
        </w:rPr>
        <w:t>debido a que sin su ardua labor y desempeño brindado en los procesos asignados, no se habrían obtenido tan excelentes resultados al finalizar el año 2020.</w:t>
      </w:r>
    </w:p>
    <w:p w14:paraId="0D4B912F" w14:textId="77777777" w:rsidR="00DE2EAE" w:rsidRPr="00BB53C0" w:rsidRDefault="00DE2EAE" w:rsidP="0037459F">
      <w:pPr>
        <w:spacing w:line="360" w:lineRule="auto"/>
        <w:jc w:val="center"/>
        <w:rPr>
          <w:rFonts w:ascii="Arial" w:hAnsi="Arial" w:cs="Arial"/>
          <w:sz w:val="24"/>
          <w:szCs w:val="24"/>
          <w:lang w:val="es-ES"/>
        </w:rPr>
      </w:pPr>
    </w:p>
    <w:p w14:paraId="270D7E49" w14:textId="77777777" w:rsidR="00D128B4" w:rsidRPr="00BB53C0" w:rsidRDefault="00D128B4" w:rsidP="0037459F">
      <w:pPr>
        <w:spacing w:line="360" w:lineRule="auto"/>
        <w:jc w:val="center"/>
        <w:rPr>
          <w:rFonts w:ascii="Arial" w:hAnsi="Arial" w:cs="Arial"/>
          <w:sz w:val="24"/>
          <w:szCs w:val="24"/>
          <w:lang w:val="es-ES"/>
        </w:rPr>
      </w:pPr>
    </w:p>
    <w:p w14:paraId="2FBB30A0" w14:textId="77777777" w:rsidR="008247EF" w:rsidRDefault="008247EF" w:rsidP="0037459F">
      <w:pPr>
        <w:spacing w:line="360" w:lineRule="auto"/>
        <w:jc w:val="center"/>
        <w:rPr>
          <w:rFonts w:ascii="Arial" w:hAnsi="Arial" w:cs="Arial"/>
          <w:b/>
          <w:sz w:val="24"/>
          <w:szCs w:val="24"/>
          <w:lang w:val="es-ES"/>
        </w:rPr>
      </w:pPr>
    </w:p>
    <w:p w14:paraId="6800126C" w14:textId="77777777" w:rsidR="008247EF" w:rsidRDefault="008247EF" w:rsidP="0037459F">
      <w:pPr>
        <w:spacing w:line="360" w:lineRule="auto"/>
        <w:jc w:val="center"/>
        <w:rPr>
          <w:rFonts w:ascii="Arial" w:hAnsi="Arial" w:cs="Arial"/>
          <w:b/>
          <w:sz w:val="24"/>
          <w:szCs w:val="24"/>
          <w:lang w:val="es-ES"/>
        </w:rPr>
      </w:pPr>
    </w:p>
    <w:p w14:paraId="4BB27190" w14:textId="61160645" w:rsidR="00B74545" w:rsidRPr="00BB53C0" w:rsidRDefault="008247EF" w:rsidP="0037459F">
      <w:pPr>
        <w:spacing w:line="360" w:lineRule="auto"/>
        <w:jc w:val="center"/>
        <w:rPr>
          <w:rFonts w:ascii="Arial" w:hAnsi="Arial" w:cs="Arial"/>
          <w:b/>
          <w:sz w:val="24"/>
          <w:szCs w:val="24"/>
          <w:lang w:val="es-ES"/>
        </w:rPr>
      </w:pPr>
      <w:r>
        <w:rPr>
          <w:rFonts w:ascii="Arial" w:hAnsi="Arial" w:cs="Arial"/>
          <w:b/>
          <w:sz w:val="24"/>
          <w:szCs w:val="24"/>
          <w:lang w:val="es-ES"/>
        </w:rPr>
        <w:t>Patricia Solano Castro</w:t>
      </w:r>
    </w:p>
    <w:p w14:paraId="17BB8040" w14:textId="5C6045D6" w:rsidR="00B74545" w:rsidRPr="00BB53C0" w:rsidRDefault="00B74545" w:rsidP="0037459F">
      <w:pPr>
        <w:spacing w:line="360" w:lineRule="auto"/>
        <w:jc w:val="center"/>
        <w:rPr>
          <w:rFonts w:ascii="Arial" w:hAnsi="Arial" w:cs="Arial"/>
          <w:b/>
          <w:sz w:val="24"/>
          <w:szCs w:val="24"/>
          <w:lang w:val="es-ES"/>
        </w:rPr>
      </w:pPr>
      <w:r w:rsidRPr="00BB53C0">
        <w:rPr>
          <w:rFonts w:ascii="Arial" w:hAnsi="Arial" w:cs="Arial"/>
          <w:b/>
          <w:sz w:val="24"/>
          <w:szCs w:val="24"/>
          <w:lang w:val="es-ES"/>
        </w:rPr>
        <w:t>President</w:t>
      </w:r>
      <w:r w:rsidR="008247EF">
        <w:rPr>
          <w:rFonts w:ascii="Arial" w:hAnsi="Arial" w:cs="Arial"/>
          <w:b/>
          <w:sz w:val="24"/>
          <w:szCs w:val="24"/>
          <w:lang w:val="es-ES"/>
        </w:rPr>
        <w:t>a</w:t>
      </w:r>
    </w:p>
    <w:p w14:paraId="0F33D00D" w14:textId="77777777" w:rsidR="00B74545" w:rsidRPr="00BB53C0" w:rsidRDefault="00B74545" w:rsidP="0037459F">
      <w:pPr>
        <w:spacing w:line="360" w:lineRule="auto"/>
        <w:jc w:val="center"/>
        <w:rPr>
          <w:rFonts w:ascii="Arial" w:hAnsi="Arial" w:cs="Arial"/>
          <w:b/>
          <w:sz w:val="24"/>
          <w:szCs w:val="24"/>
          <w:lang w:val="es-ES"/>
        </w:rPr>
      </w:pPr>
      <w:r w:rsidRPr="00BB53C0">
        <w:rPr>
          <w:rFonts w:ascii="Arial" w:hAnsi="Arial" w:cs="Arial"/>
          <w:b/>
          <w:sz w:val="24"/>
          <w:szCs w:val="24"/>
          <w:lang w:val="es-ES"/>
        </w:rPr>
        <w:t>Sala de Casación Penal</w:t>
      </w:r>
    </w:p>
    <w:p w14:paraId="51C12A0F" w14:textId="77777777" w:rsidR="00812DB2" w:rsidRPr="00BB53C0" w:rsidRDefault="00812DB2" w:rsidP="0037459F">
      <w:pPr>
        <w:spacing w:line="360" w:lineRule="auto"/>
        <w:jc w:val="center"/>
        <w:rPr>
          <w:rFonts w:ascii="Arial" w:hAnsi="Arial" w:cs="Arial"/>
          <w:b/>
          <w:sz w:val="24"/>
          <w:szCs w:val="24"/>
          <w:lang w:val="es-ES"/>
        </w:rPr>
      </w:pPr>
    </w:p>
    <w:p w14:paraId="7A776926" w14:textId="77777777" w:rsidR="00812DB2" w:rsidRPr="00BB53C0" w:rsidRDefault="00812DB2" w:rsidP="0037459F">
      <w:pPr>
        <w:spacing w:line="360" w:lineRule="auto"/>
        <w:jc w:val="center"/>
        <w:rPr>
          <w:rFonts w:ascii="Arial" w:hAnsi="Arial" w:cs="Arial"/>
          <w:b/>
          <w:sz w:val="24"/>
          <w:szCs w:val="24"/>
          <w:lang w:val="es-ES"/>
        </w:rPr>
      </w:pPr>
    </w:p>
    <w:p w14:paraId="5209BFA1" w14:textId="77777777" w:rsidR="00812DB2" w:rsidRPr="00BB53C0" w:rsidRDefault="00812DB2" w:rsidP="0037459F">
      <w:pPr>
        <w:spacing w:line="360" w:lineRule="auto"/>
        <w:jc w:val="center"/>
        <w:rPr>
          <w:rFonts w:ascii="Arial" w:hAnsi="Arial" w:cs="Arial"/>
          <w:b/>
          <w:sz w:val="24"/>
          <w:szCs w:val="24"/>
          <w:lang w:val="es-ES"/>
        </w:rPr>
      </w:pPr>
    </w:p>
    <w:p w14:paraId="5B0961D2" w14:textId="77777777" w:rsidR="00812DB2" w:rsidRPr="00BB53C0" w:rsidRDefault="00812DB2" w:rsidP="00812DB2">
      <w:pPr>
        <w:autoSpaceDE w:val="0"/>
        <w:autoSpaceDN w:val="0"/>
        <w:adjustRightInd w:val="0"/>
        <w:spacing w:after="0" w:line="360" w:lineRule="auto"/>
        <w:ind w:left="720"/>
        <w:jc w:val="both"/>
        <w:rPr>
          <w:rFonts w:ascii="Arial" w:hAnsi="Arial" w:cs="Arial"/>
          <w:sz w:val="24"/>
          <w:szCs w:val="24"/>
        </w:rPr>
      </w:pPr>
    </w:p>
    <w:sectPr w:rsidR="00812DB2" w:rsidRPr="00BB53C0" w:rsidSect="003215F3">
      <w:headerReference w:type="default" r:id="rId77"/>
      <w:footerReference w:type="default" r:id="rId78"/>
      <w:type w:val="nextColumn"/>
      <w:pgSz w:w="12240" w:h="15840" w:code="1"/>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01C2E" w14:textId="77777777" w:rsidR="00F71879" w:rsidRDefault="00F71879">
      <w:r>
        <w:separator/>
      </w:r>
    </w:p>
  </w:endnote>
  <w:endnote w:type="continuationSeparator" w:id="0">
    <w:p w14:paraId="39C4759A" w14:textId="77777777" w:rsidR="00F71879" w:rsidRDefault="00F7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9C21F" w14:textId="7CC7E7BD" w:rsidR="00B222F0" w:rsidRDefault="00B222F0">
    <w:pPr>
      <w:pStyle w:val="Piedepgina"/>
      <w:jc w:val="right"/>
    </w:pPr>
  </w:p>
  <w:p w14:paraId="70638C1C" w14:textId="0F94CDF0" w:rsidR="00B222F0" w:rsidRDefault="00B222F0" w:rsidP="003215F3">
    <w:pPr>
      <w:pStyle w:val="Piedepgina"/>
      <w:tabs>
        <w:tab w:val="clear" w:pos="8504"/>
        <w:tab w:val="left" w:pos="7680"/>
      </w:tabs>
    </w:pPr>
    <w:r>
      <w:tab/>
    </w:r>
    <w:r>
      <w:tab/>
    </w:r>
    <w:r>
      <w:fldChar w:fldCharType="begin"/>
    </w:r>
    <w:r>
      <w:instrText>PAGE   \* MERGEFORMAT</w:instrText>
    </w:r>
    <w:r>
      <w:fldChar w:fldCharType="separate"/>
    </w:r>
    <w:r>
      <w:rPr>
        <w:lang w:val="es-ES"/>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2DD22" w14:textId="77777777" w:rsidR="00F71879" w:rsidRDefault="00F71879">
      <w:r>
        <w:separator/>
      </w:r>
    </w:p>
  </w:footnote>
  <w:footnote w:type="continuationSeparator" w:id="0">
    <w:p w14:paraId="6707073B" w14:textId="77777777" w:rsidR="00F71879" w:rsidRDefault="00F71879">
      <w:r>
        <w:continuationSeparator/>
      </w:r>
    </w:p>
  </w:footnote>
  <w:footnote w:id="1">
    <w:p w14:paraId="57007737" w14:textId="1BD75003" w:rsidR="00B222F0" w:rsidRPr="00975B32" w:rsidRDefault="00B222F0" w:rsidP="00B64456">
      <w:pPr>
        <w:pStyle w:val="Textonotapie"/>
        <w:spacing w:line="240" w:lineRule="auto"/>
        <w:jc w:val="both"/>
        <w:rPr>
          <w:lang w:val="es-ES"/>
        </w:rPr>
      </w:pPr>
    </w:p>
  </w:footnote>
  <w:footnote w:id="2">
    <w:p w14:paraId="6794EF46" w14:textId="77777777" w:rsidR="00B222F0" w:rsidRPr="003152EC" w:rsidRDefault="00B222F0" w:rsidP="00E2481B">
      <w:pPr>
        <w:pStyle w:val="Textonotapie"/>
      </w:pPr>
      <w:r>
        <w:rPr>
          <w:rStyle w:val="Refdenotaalpie"/>
        </w:rPr>
        <w:footnoteRef/>
      </w:r>
      <w:r>
        <w:t xml:space="preserve"> Acuerdo de Corte Plena, sesión N° 28-2008, artículo XV, del 25 de agosto 2008, aprobó el “Reglamento de Organización y Competencias de los funcionarios penales de San José, a cargo del trámite de delitos y contravenciones en flagrancia” </w:t>
      </w:r>
      <w:hyperlink r:id="rId1" w:history="1">
        <w:r>
          <w:rPr>
            <w:rStyle w:val="Hipervnculo"/>
          </w:rPr>
          <w:t>https://nexuspj.poder-judicial.go.cr/document/act-1-0003-303-15</w:t>
        </w:r>
      </w:hyperlink>
    </w:p>
  </w:footnote>
  <w:footnote w:id="3">
    <w:p w14:paraId="57AC3282" w14:textId="77777777" w:rsidR="00B222F0" w:rsidRPr="006B619D" w:rsidRDefault="00B222F0" w:rsidP="00E2481B">
      <w:pPr>
        <w:shd w:val="clear" w:color="auto" w:fill="FFFFFF"/>
        <w:spacing w:after="0" w:line="240" w:lineRule="auto"/>
        <w:ind w:left="330" w:hanging="330"/>
        <w:jc w:val="both"/>
        <w:rPr>
          <w:rFonts w:eastAsia="Times New Roman" w:cs="Arial"/>
          <w:color w:val="000000"/>
          <w:lang w:eastAsia="es-ES"/>
        </w:rPr>
      </w:pPr>
      <w:r>
        <w:rPr>
          <w:rStyle w:val="Refdenotaalpie"/>
        </w:rPr>
        <w:footnoteRef/>
      </w:r>
      <w:r>
        <w:t xml:space="preserve"> </w:t>
      </w:r>
      <w:r w:rsidRPr="001444CA">
        <w:t>Modelo de atención del Procedimiento E</w:t>
      </w:r>
      <w:r>
        <w:t>xpedito</w:t>
      </w:r>
      <w:r w:rsidRPr="001444CA">
        <w:t xml:space="preserve"> de Flagrancia consiste en una </w:t>
      </w:r>
      <w:r w:rsidRPr="001444CA">
        <w:rPr>
          <w:b/>
        </w:rPr>
        <w:t>Audiencia Temprana</w:t>
      </w:r>
      <w:r w:rsidRPr="001444CA">
        <w:t xml:space="preserve">: </w:t>
      </w:r>
      <w:r w:rsidRPr="006B619D">
        <w:rPr>
          <w:rFonts w:eastAsia="Times New Roman" w:cs="Arial"/>
          <w:color w:val="000000"/>
          <w:lang w:eastAsia="es-ES"/>
        </w:rPr>
        <w:t>para atender la detención, traslado inmediato ante fiscal, imputación de cargos y pruebas</w:t>
      </w:r>
      <w:r>
        <w:rPr>
          <w:rFonts w:eastAsia="Times New Roman" w:cs="Arial"/>
          <w:color w:val="000000"/>
          <w:lang w:eastAsia="es-ES"/>
        </w:rPr>
        <w:t xml:space="preserve">, </w:t>
      </w:r>
      <w:r w:rsidRPr="006B619D">
        <w:rPr>
          <w:rFonts w:eastAsia="Times New Roman" w:cs="Arial"/>
          <w:color w:val="000000"/>
          <w:lang w:eastAsia="es-ES"/>
        </w:rPr>
        <w:t>diseño de acusación o solicitudes alternas, solicitud y realización de la audiencia, pronunciamiento del juez sobre flagra</w:t>
      </w:r>
      <w:r>
        <w:rPr>
          <w:rFonts w:eastAsia="Times New Roman" w:cs="Arial"/>
          <w:color w:val="000000"/>
          <w:lang w:eastAsia="es-ES"/>
        </w:rPr>
        <w:t xml:space="preserve">ncia, nombramiento de defensor, </w:t>
      </w:r>
      <w:r w:rsidRPr="006B619D">
        <w:rPr>
          <w:rFonts w:eastAsia="Times New Roman" w:cs="Arial"/>
          <w:color w:val="000000"/>
          <w:lang w:eastAsia="es-ES"/>
        </w:rPr>
        <w:t xml:space="preserve"> escogencia o designación de defensor, oportunidad para preparar defensa y ofrecer pruebas de descargo, solicitud de medidas cautelar</w:t>
      </w:r>
      <w:r>
        <w:rPr>
          <w:rFonts w:eastAsia="Times New Roman" w:cs="Arial"/>
          <w:color w:val="000000"/>
          <w:lang w:eastAsia="es-ES"/>
        </w:rPr>
        <w:t xml:space="preserve">es, resolución sobre ellas. </w:t>
      </w:r>
      <w:r w:rsidRPr="001444CA">
        <w:rPr>
          <w:rFonts w:eastAsia="Times New Roman" w:cs="Arial"/>
          <w:color w:val="000000"/>
          <w:lang w:eastAsia="es-ES"/>
        </w:rPr>
        <w:t xml:space="preserve">Se realiza </w:t>
      </w:r>
      <w:r w:rsidRPr="001444CA">
        <w:rPr>
          <w:rFonts w:cs="Arial"/>
          <w:color w:val="000000"/>
          <w:shd w:val="clear" w:color="auto" w:fill="FFFFFF"/>
        </w:rPr>
        <w:t>la audiencia preliminar en </w:t>
      </w:r>
      <w:r w:rsidRPr="001444CA">
        <w:t>los</w:t>
      </w:r>
      <w:r w:rsidRPr="001444CA">
        <w:rPr>
          <w:rFonts w:cs="Arial"/>
          <w:color w:val="000000"/>
          <w:shd w:val="clear" w:color="auto" w:fill="FFFFFF"/>
        </w:rPr>
        <w:t> términos </w:t>
      </w:r>
      <w:r w:rsidRPr="001444CA">
        <w:t>de</w:t>
      </w:r>
      <w:r w:rsidRPr="001444CA">
        <w:rPr>
          <w:rFonts w:cs="Arial"/>
          <w:color w:val="000000"/>
          <w:shd w:val="clear" w:color="auto" w:fill="FFFFFF"/>
        </w:rPr>
        <w:t> </w:t>
      </w:r>
      <w:r w:rsidRPr="001444CA">
        <w:t>los</w:t>
      </w:r>
      <w:r w:rsidRPr="001444CA">
        <w:rPr>
          <w:rFonts w:cs="Arial"/>
          <w:color w:val="000000"/>
          <w:shd w:val="clear" w:color="auto" w:fill="FFFFFF"/>
        </w:rPr>
        <w:t> artículos 316 </w:t>
      </w:r>
      <w:r w:rsidRPr="001444CA">
        <w:t>y</w:t>
      </w:r>
      <w:r w:rsidRPr="001444CA">
        <w:rPr>
          <w:rFonts w:cs="Arial"/>
          <w:color w:val="000000"/>
          <w:shd w:val="clear" w:color="auto" w:fill="FFFFFF"/>
        </w:rPr>
        <w:t> siguientes del C.P.P., Se verifica nuevamente la posibilidad </w:t>
      </w:r>
      <w:r w:rsidRPr="001444CA">
        <w:t>de</w:t>
      </w:r>
      <w:r w:rsidRPr="001444CA">
        <w:rPr>
          <w:rFonts w:cs="Arial"/>
          <w:color w:val="000000"/>
          <w:shd w:val="clear" w:color="auto" w:fill="FFFFFF"/>
        </w:rPr>
        <w:t> salidas alternas o bien se concluye con el auto </w:t>
      </w:r>
      <w:r w:rsidRPr="001444CA">
        <w:t>de</w:t>
      </w:r>
      <w:r w:rsidRPr="001444CA">
        <w:rPr>
          <w:rFonts w:cs="Arial"/>
          <w:color w:val="000000"/>
          <w:shd w:val="clear" w:color="auto" w:fill="FFFFFF"/>
        </w:rPr>
        <w:t xml:space="preserve"> apertura a juicio; y una </w:t>
      </w:r>
      <w:r w:rsidRPr="001444CA">
        <w:rPr>
          <w:rFonts w:cs="Arial"/>
          <w:b/>
          <w:color w:val="000000"/>
          <w:shd w:val="clear" w:color="auto" w:fill="FFFFFF"/>
        </w:rPr>
        <w:t>Audiencia-Juicio oral y público</w:t>
      </w:r>
      <w:r w:rsidRPr="001444CA">
        <w:rPr>
          <w:rFonts w:cs="Arial"/>
          <w:color w:val="000000"/>
          <w:shd w:val="clear" w:color="auto" w:fill="FFFFFF"/>
        </w:rPr>
        <w:t>: Se lleva a cabo el debate, se evacua la prueba, se oyen conclusiones </w:t>
      </w:r>
      <w:r w:rsidRPr="001444CA">
        <w:t>y</w:t>
      </w:r>
      <w:r w:rsidRPr="001444CA">
        <w:rPr>
          <w:rFonts w:cs="Arial"/>
          <w:color w:val="000000"/>
          <w:shd w:val="clear" w:color="auto" w:fill="FFFFFF"/>
        </w:rPr>
        <w:t> se dicta la sentencia.</w:t>
      </w:r>
    </w:p>
    <w:p w14:paraId="041A9C84" w14:textId="77777777" w:rsidR="00B222F0" w:rsidRPr="006B619D" w:rsidRDefault="00B222F0" w:rsidP="00E2481B">
      <w:pPr>
        <w:pStyle w:val="Textonotapie"/>
      </w:pPr>
    </w:p>
  </w:footnote>
  <w:footnote w:id="4">
    <w:p w14:paraId="0BF32E07" w14:textId="77777777" w:rsidR="00B222F0" w:rsidRPr="0011433B" w:rsidRDefault="00B222F0" w:rsidP="00E2481B">
      <w:pPr>
        <w:pStyle w:val="Textonotapie"/>
      </w:pPr>
      <w:r>
        <w:rPr>
          <w:rStyle w:val="Refdenotaalpie"/>
        </w:rPr>
        <w:footnoteRef/>
      </w:r>
      <w:r>
        <w:t xml:space="preserve">  Ley 8720,</w:t>
      </w:r>
      <w:r w:rsidRPr="00160EDB">
        <w:t xml:space="preserve"> </w:t>
      </w:r>
      <w:r>
        <w:t>Título II, artículo 18. Ley de protección a víctimas, testigos y demás sujetos intervinientes en el proceso penal, reformas y adición al Código Procesal Penal y al Código Penal. Asamblea Legislativa, La Gaceta N° 77 del 22 de abril del 2009</w:t>
      </w:r>
    </w:p>
  </w:footnote>
  <w:footnote w:id="5">
    <w:p w14:paraId="0B396D41" w14:textId="77777777" w:rsidR="00B222F0" w:rsidRDefault="00B222F0" w:rsidP="00E2481B">
      <w:pPr>
        <w:pStyle w:val="xmsonormal"/>
        <w:shd w:val="clear" w:color="auto" w:fill="FFFFFF"/>
        <w:spacing w:before="0" w:beforeAutospacing="0" w:after="0" w:afterAutospacing="0"/>
        <w:ind w:left="1080"/>
        <w:rPr>
          <w:rFonts w:ascii="Calibri" w:hAnsi="Calibri" w:cs="Calibri"/>
          <w:color w:val="201F1E"/>
          <w:sz w:val="22"/>
          <w:szCs w:val="22"/>
          <w:bdr w:val="none" w:sz="0" w:space="0" w:color="auto" w:frame="1"/>
        </w:rPr>
      </w:pPr>
      <w:r>
        <w:rPr>
          <w:rStyle w:val="Refdenotaalpie"/>
        </w:rPr>
        <w:footnoteRef/>
      </w:r>
      <w:r>
        <w:t xml:space="preserve"> </w:t>
      </w:r>
      <w:hyperlink r:id="rId2" w:history="1">
        <w:r>
          <w:rPr>
            <w:rStyle w:val="Hipervnculo"/>
            <w:rFonts w:ascii="Calibri" w:hAnsi="Calibri" w:cs="Calibri"/>
            <w:bdr w:val="none" w:sz="0" w:space="0" w:color="auto" w:frame="1"/>
          </w:rPr>
          <w:t>https://pjcr-my.sharepoint.com/:w:/g/personal/rquirosp_poder-judicial_go_cr/Ed_J5eoPdVhJuiQW_ealvNYBOFUs6LCw31Y26VCtfnj3qg?e=Yvh3Nm</w:t>
        </w:r>
      </w:hyperlink>
    </w:p>
    <w:p w14:paraId="35211E9F" w14:textId="77777777" w:rsidR="00B222F0" w:rsidRDefault="00B222F0" w:rsidP="00E2481B">
      <w:pPr>
        <w:pStyle w:val="xmsonormal"/>
        <w:shd w:val="clear" w:color="auto" w:fill="FFFFFF"/>
        <w:spacing w:before="0" w:beforeAutospacing="0" w:after="0" w:afterAutospacing="0"/>
        <w:rPr>
          <w:rFonts w:ascii="Calibri" w:hAnsi="Calibri" w:cs="Calibri"/>
          <w:color w:val="201F1E"/>
          <w:sz w:val="22"/>
          <w:szCs w:val="22"/>
        </w:rPr>
      </w:pPr>
    </w:p>
    <w:p w14:paraId="52A08297" w14:textId="77777777" w:rsidR="00B222F0" w:rsidRDefault="00B222F0" w:rsidP="00E2481B">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0D407" w14:textId="77777777" w:rsidR="00B222F0" w:rsidRPr="00BA4948" w:rsidRDefault="00B222F0" w:rsidP="00BA4948">
    <w:pPr>
      <w:pStyle w:val="Encabezado"/>
      <w:tabs>
        <w:tab w:val="left" w:pos="2535"/>
        <w:tab w:val="right" w:pos="8838"/>
      </w:tabs>
      <w:spacing w:after="0" w:line="240" w:lineRule="auto"/>
      <w:rPr>
        <w:rFonts w:ascii="Constantia" w:hAnsi="Constantia"/>
        <w:i/>
        <w:sz w:val="24"/>
        <w:szCs w:val="24"/>
      </w:rPr>
    </w:pPr>
    <w:r>
      <w:rPr>
        <w:rFonts w:ascii="Constantia" w:hAnsi="Constantia"/>
        <w:i/>
        <w:sz w:val="24"/>
        <w:szCs w:val="24"/>
      </w:rPr>
      <w:tab/>
    </w:r>
    <w:r>
      <w:rPr>
        <w:rFonts w:ascii="Constantia" w:hAnsi="Constantia"/>
        <w:i/>
        <w:sz w:val="24"/>
        <w:szCs w:val="24"/>
      </w:rPr>
      <w:tab/>
    </w:r>
  </w:p>
  <w:p w14:paraId="7D330C8C" w14:textId="77777777" w:rsidR="00B222F0" w:rsidRPr="005749BD" w:rsidRDefault="00B222F0" w:rsidP="003A5016">
    <w:pPr>
      <w:pStyle w:val="Encabezado"/>
      <w:spacing w:after="0" w:line="240" w:lineRule="auto"/>
      <w:jc w:val="right"/>
      <w:rPr>
        <w:rFonts w:ascii="Constantia" w:hAnsi="Constantia"/>
        <w:i/>
        <w:sz w:val="24"/>
        <w:szCs w:val="24"/>
      </w:rPr>
    </w:pPr>
    <w:r>
      <w:rPr>
        <w:rFonts w:ascii="Constantia" w:hAnsi="Constantia"/>
        <w:i/>
        <w:sz w:val="24"/>
        <w:szCs w:val="24"/>
      </w:rPr>
      <w:t>______________________________________________________________________</w:t>
    </w:r>
    <w:r w:rsidRPr="005749BD">
      <w:rPr>
        <w:rFonts w:ascii="Constantia" w:hAnsi="Constantia"/>
        <w:i/>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2"/>
    <w:lvl w:ilvl="0">
      <w:start w:val="1"/>
      <w:numFmt w:val="upperRoman"/>
      <w:lvlText w:val="%1."/>
      <w:lvlJc w:val="left"/>
      <w:pPr>
        <w:tabs>
          <w:tab w:val="num" w:pos="-678"/>
        </w:tabs>
        <w:ind w:left="402" w:hanging="720"/>
      </w:pPr>
      <w:rPr>
        <w:rFonts w:ascii="Times New Roman" w:hAnsi="Times New Roman" w:cs="Times New Roman"/>
        <w:b/>
        <w:sz w:val="22"/>
        <w:szCs w:val="22"/>
      </w:rPr>
    </w:lvl>
    <w:lvl w:ilvl="1">
      <w:start w:val="1"/>
      <w:numFmt w:val="lowerLetter"/>
      <w:lvlText w:val="%2."/>
      <w:lvlJc w:val="left"/>
      <w:pPr>
        <w:tabs>
          <w:tab w:val="num" w:pos="-678"/>
        </w:tabs>
        <w:ind w:left="762" w:hanging="360"/>
      </w:pPr>
    </w:lvl>
    <w:lvl w:ilvl="2">
      <w:start w:val="1"/>
      <w:numFmt w:val="lowerRoman"/>
      <w:lvlText w:val="%2.%3."/>
      <w:lvlJc w:val="right"/>
      <w:pPr>
        <w:tabs>
          <w:tab w:val="num" w:pos="-678"/>
        </w:tabs>
        <w:ind w:left="1482" w:hanging="180"/>
      </w:pPr>
    </w:lvl>
    <w:lvl w:ilvl="3">
      <w:start w:val="1"/>
      <w:numFmt w:val="upperLetter"/>
      <w:lvlText w:val="%2.%3.%4-"/>
      <w:lvlJc w:val="left"/>
      <w:pPr>
        <w:tabs>
          <w:tab w:val="num" w:pos="-678"/>
        </w:tabs>
        <w:ind w:left="2202" w:hanging="360"/>
      </w:pPr>
    </w:lvl>
    <w:lvl w:ilvl="4">
      <w:start w:val="1"/>
      <w:numFmt w:val="lowerLetter"/>
      <w:lvlText w:val="%2.%3.%4.%5."/>
      <w:lvlJc w:val="left"/>
      <w:pPr>
        <w:tabs>
          <w:tab w:val="num" w:pos="-678"/>
        </w:tabs>
        <w:ind w:left="2922" w:hanging="360"/>
      </w:pPr>
    </w:lvl>
    <w:lvl w:ilvl="5">
      <w:start w:val="1"/>
      <w:numFmt w:val="lowerRoman"/>
      <w:lvlText w:val="%2.%3.%4.%5.%6."/>
      <w:lvlJc w:val="right"/>
      <w:pPr>
        <w:tabs>
          <w:tab w:val="num" w:pos="-678"/>
        </w:tabs>
        <w:ind w:left="3642" w:hanging="180"/>
      </w:pPr>
    </w:lvl>
    <w:lvl w:ilvl="6">
      <w:start w:val="1"/>
      <w:numFmt w:val="decimal"/>
      <w:lvlText w:val="%2.%3.%4.%5.%6.%7."/>
      <w:lvlJc w:val="left"/>
      <w:pPr>
        <w:tabs>
          <w:tab w:val="num" w:pos="-678"/>
        </w:tabs>
        <w:ind w:left="4362" w:hanging="360"/>
      </w:pPr>
    </w:lvl>
    <w:lvl w:ilvl="7">
      <w:start w:val="1"/>
      <w:numFmt w:val="lowerLetter"/>
      <w:lvlText w:val="%2.%3.%4.%5.%6.%7.%8."/>
      <w:lvlJc w:val="left"/>
      <w:pPr>
        <w:tabs>
          <w:tab w:val="num" w:pos="-678"/>
        </w:tabs>
        <w:ind w:left="5082" w:hanging="360"/>
      </w:pPr>
    </w:lvl>
    <w:lvl w:ilvl="8">
      <w:start w:val="1"/>
      <w:numFmt w:val="lowerRoman"/>
      <w:lvlText w:val="%2.%3.%4.%5.%6.%7.%8.%9."/>
      <w:lvlJc w:val="right"/>
      <w:pPr>
        <w:tabs>
          <w:tab w:val="num" w:pos="-678"/>
        </w:tabs>
        <w:ind w:left="5802" w:hanging="180"/>
      </w:pPr>
    </w:lvl>
  </w:abstractNum>
  <w:abstractNum w:abstractNumId="1" w15:restartNumberingAfterBreak="0">
    <w:nsid w:val="00000002"/>
    <w:multiLevelType w:val="multilevel"/>
    <w:tmpl w:val="CFC08984"/>
    <w:name w:val="WWNum27"/>
    <w:lvl w:ilvl="0">
      <w:start w:val="1"/>
      <w:numFmt w:val="decimal"/>
      <w:lvlText w:val="%1."/>
      <w:lvlJc w:val="left"/>
      <w:pPr>
        <w:tabs>
          <w:tab w:val="num" w:pos="0"/>
        </w:tabs>
        <w:ind w:left="720" w:hanging="360"/>
      </w:pPr>
      <w:rPr>
        <w:rFonts w:ascii="Times New Roman" w:hAnsi="Times New Roman" w:cs="Times New Roman" w:hint="default"/>
        <w:b/>
        <w:color w:val="auto"/>
        <w:sz w:val="28"/>
        <w:szCs w:val="28"/>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3"/>
    <w:multiLevelType w:val="multilevel"/>
    <w:tmpl w:val="DB12C532"/>
    <w:name w:val="WWNum3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3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40"/>
    <w:lvl w:ilvl="0">
      <w:start w:val="1"/>
      <w:numFmt w:val="decimal"/>
      <w:lvlText w:val="%1."/>
      <w:lvlJc w:val="left"/>
      <w:pPr>
        <w:tabs>
          <w:tab w:val="num" w:pos="0"/>
        </w:tabs>
        <w:ind w:left="405" w:hanging="405"/>
      </w:pPr>
    </w:lvl>
    <w:lvl w:ilvl="1">
      <w:start w:val="1"/>
      <w:numFmt w:val="decimal"/>
      <w:lvlText w:val="%1.%2."/>
      <w:lvlJc w:val="left"/>
      <w:pPr>
        <w:tabs>
          <w:tab w:val="num" w:pos="0"/>
        </w:tabs>
        <w:ind w:left="405" w:hanging="405"/>
      </w:pPr>
      <w:rPr>
        <w:rFonts w:ascii="Times New Roman" w:hAnsi="Times New Roman" w:cs="Times New Roman"/>
        <w:b/>
        <w:bCs/>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52A536D"/>
    <w:multiLevelType w:val="hybridMultilevel"/>
    <w:tmpl w:val="A962A602"/>
    <w:lvl w:ilvl="0" w:tplc="430A2FDE">
      <w:start w:val="1"/>
      <w:numFmt w:val="lowerLetter"/>
      <w:lvlText w:val="%1."/>
      <w:lvlJc w:val="left"/>
      <w:pPr>
        <w:ind w:left="1440" w:hanging="360"/>
      </w:pPr>
      <w:rPr>
        <w:rFonts w:hint="default"/>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06E065F5"/>
    <w:multiLevelType w:val="hybridMultilevel"/>
    <w:tmpl w:val="DEC61682"/>
    <w:lvl w:ilvl="0" w:tplc="3668C472">
      <w:start w:val="1"/>
      <w:numFmt w:val="upperRoman"/>
      <w:lvlText w:val="%1."/>
      <w:lvlJc w:val="left"/>
      <w:pPr>
        <w:ind w:left="2136" w:hanging="72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7" w15:restartNumberingAfterBreak="0">
    <w:nsid w:val="0A16314E"/>
    <w:multiLevelType w:val="hybridMultilevel"/>
    <w:tmpl w:val="B1D6F262"/>
    <w:lvl w:ilvl="0" w:tplc="6C1CE25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BE862E3"/>
    <w:multiLevelType w:val="multilevel"/>
    <w:tmpl w:val="F3140B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3D46216"/>
    <w:multiLevelType w:val="multilevel"/>
    <w:tmpl w:val="886A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65E91"/>
    <w:multiLevelType w:val="hybridMultilevel"/>
    <w:tmpl w:val="F24E4D48"/>
    <w:lvl w:ilvl="0" w:tplc="9CEEBF9A">
      <w:start w:val="1"/>
      <w:numFmt w:val="decimal"/>
      <w:lvlText w:val="%1)"/>
      <w:lvlJc w:val="left"/>
      <w:pPr>
        <w:ind w:left="785" w:hanging="360"/>
      </w:pPr>
      <w:rPr>
        <w:rFonts w:hint="default"/>
      </w:r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abstractNum w:abstractNumId="11" w15:restartNumberingAfterBreak="0">
    <w:nsid w:val="1F8973A1"/>
    <w:multiLevelType w:val="hybridMultilevel"/>
    <w:tmpl w:val="78281FD0"/>
    <w:lvl w:ilvl="0" w:tplc="58F06A40">
      <w:start w:val="2"/>
      <w:numFmt w:val="upperRoman"/>
      <w:lvlText w:val="%1."/>
      <w:lvlJc w:val="left"/>
      <w:pPr>
        <w:ind w:left="1710" w:hanging="720"/>
      </w:pPr>
      <w:rPr>
        <w:rFonts w:ascii="Arial" w:hAnsi="Arial" w:cs="Arial" w:hint="default"/>
        <w:sz w:val="24"/>
      </w:rPr>
    </w:lvl>
    <w:lvl w:ilvl="1" w:tplc="140A0019">
      <w:start w:val="1"/>
      <w:numFmt w:val="lowerLetter"/>
      <w:lvlText w:val="%2."/>
      <w:lvlJc w:val="left"/>
      <w:pPr>
        <w:ind w:left="2070" w:hanging="360"/>
      </w:pPr>
    </w:lvl>
    <w:lvl w:ilvl="2" w:tplc="140A001B">
      <w:start w:val="1"/>
      <w:numFmt w:val="lowerRoman"/>
      <w:lvlText w:val="%3."/>
      <w:lvlJc w:val="right"/>
      <w:pPr>
        <w:ind w:left="2790" w:hanging="180"/>
      </w:pPr>
    </w:lvl>
    <w:lvl w:ilvl="3" w:tplc="140A000F">
      <w:start w:val="1"/>
      <w:numFmt w:val="decimal"/>
      <w:lvlText w:val="%4."/>
      <w:lvlJc w:val="left"/>
      <w:pPr>
        <w:ind w:left="3510" w:hanging="360"/>
      </w:pPr>
    </w:lvl>
    <w:lvl w:ilvl="4" w:tplc="140A0019">
      <w:start w:val="1"/>
      <w:numFmt w:val="lowerLetter"/>
      <w:lvlText w:val="%5."/>
      <w:lvlJc w:val="left"/>
      <w:pPr>
        <w:ind w:left="4230" w:hanging="360"/>
      </w:pPr>
    </w:lvl>
    <w:lvl w:ilvl="5" w:tplc="140A001B">
      <w:start w:val="1"/>
      <w:numFmt w:val="lowerRoman"/>
      <w:lvlText w:val="%6."/>
      <w:lvlJc w:val="right"/>
      <w:pPr>
        <w:ind w:left="4950" w:hanging="180"/>
      </w:pPr>
    </w:lvl>
    <w:lvl w:ilvl="6" w:tplc="140A000F">
      <w:start w:val="1"/>
      <w:numFmt w:val="decimal"/>
      <w:lvlText w:val="%7."/>
      <w:lvlJc w:val="left"/>
      <w:pPr>
        <w:ind w:left="5670" w:hanging="360"/>
      </w:pPr>
    </w:lvl>
    <w:lvl w:ilvl="7" w:tplc="140A0019">
      <w:start w:val="1"/>
      <w:numFmt w:val="lowerLetter"/>
      <w:lvlText w:val="%8."/>
      <w:lvlJc w:val="left"/>
      <w:pPr>
        <w:ind w:left="6390" w:hanging="360"/>
      </w:pPr>
    </w:lvl>
    <w:lvl w:ilvl="8" w:tplc="140A001B">
      <w:start w:val="1"/>
      <w:numFmt w:val="lowerRoman"/>
      <w:lvlText w:val="%9."/>
      <w:lvlJc w:val="right"/>
      <w:pPr>
        <w:ind w:left="7110" w:hanging="180"/>
      </w:pPr>
    </w:lvl>
  </w:abstractNum>
  <w:abstractNum w:abstractNumId="12" w15:restartNumberingAfterBreak="0">
    <w:nsid w:val="23953275"/>
    <w:multiLevelType w:val="hybridMultilevel"/>
    <w:tmpl w:val="6FDCBF78"/>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1636"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24297774"/>
    <w:multiLevelType w:val="hybridMultilevel"/>
    <w:tmpl w:val="600636EE"/>
    <w:lvl w:ilvl="0" w:tplc="B65A5222">
      <w:start w:val="1"/>
      <w:numFmt w:val="upperRoman"/>
      <w:lvlText w:val="%1."/>
      <w:lvlJc w:val="right"/>
      <w:pPr>
        <w:ind w:left="1080" w:hanging="360"/>
      </w:pPr>
      <w:rPr>
        <w:i w:val="0"/>
        <w:iCs w:val="0"/>
      </w:rPr>
    </w:lvl>
    <w:lvl w:ilvl="1" w:tplc="140A0003">
      <w:numFmt w:val="decimal"/>
      <w:lvlText w:val="o"/>
      <w:lvlJc w:val="left"/>
      <w:pPr>
        <w:ind w:left="1800" w:hanging="360"/>
      </w:pPr>
      <w:rPr>
        <w:rFonts w:ascii="Courier New" w:hAnsi="Courier New" w:cs="Times New Roman" w:hint="default"/>
      </w:rPr>
    </w:lvl>
    <w:lvl w:ilvl="2" w:tplc="140A0005">
      <w:numFmt w:val="decimal"/>
      <w:lvlText w:val=""/>
      <w:lvlJc w:val="left"/>
      <w:pPr>
        <w:ind w:left="2520" w:hanging="360"/>
      </w:pPr>
      <w:rPr>
        <w:rFonts w:ascii="Wingdings" w:hAnsi="Wingdings" w:hint="default"/>
      </w:rPr>
    </w:lvl>
    <w:lvl w:ilvl="3" w:tplc="140A0001">
      <w:numFmt w:val="decimal"/>
      <w:lvlText w:val=""/>
      <w:lvlJc w:val="left"/>
      <w:pPr>
        <w:ind w:left="3240" w:hanging="360"/>
      </w:pPr>
      <w:rPr>
        <w:rFonts w:ascii="Symbol" w:hAnsi="Symbol" w:hint="default"/>
      </w:rPr>
    </w:lvl>
    <w:lvl w:ilvl="4" w:tplc="140A0003">
      <w:numFmt w:val="decimal"/>
      <w:lvlText w:val="o"/>
      <w:lvlJc w:val="left"/>
      <w:pPr>
        <w:ind w:left="3960" w:hanging="360"/>
      </w:pPr>
      <w:rPr>
        <w:rFonts w:ascii="Courier New" w:hAnsi="Courier New" w:cs="Times New Roman" w:hint="default"/>
      </w:rPr>
    </w:lvl>
    <w:lvl w:ilvl="5" w:tplc="140A0005">
      <w:numFmt w:val="decimal"/>
      <w:lvlText w:val=""/>
      <w:lvlJc w:val="left"/>
      <w:pPr>
        <w:ind w:left="4680" w:hanging="360"/>
      </w:pPr>
      <w:rPr>
        <w:rFonts w:ascii="Wingdings" w:hAnsi="Wingdings" w:hint="default"/>
      </w:rPr>
    </w:lvl>
    <w:lvl w:ilvl="6" w:tplc="140A0001">
      <w:numFmt w:val="decimal"/>
      <w:lvlText w:val=""/>
      <w:lvlJc w:val="left"/>
      <w:pPr>
        <w:ind w:left="5400" w:hanging="360"/>
      </w:pPr>
      <w:rPr>
        <w:rFonts w:ascii="Symbol" w:hAnsi="Symbol" w:hint="default"/>
      </w:rPr>
    </w:lvl>
    <w:lvl w:ilvl="7" w:tplc="140A0003">
      <w:numFmt w:val="decimal"/>
      <w:lvlText w:val="o"/>
      <w:lvlJc w:val="left"/>
      <w:pPr>
        <w:ind w:left="6120" w:hanging="360"/>
      </w:pPr>
      <w:rPr>
        <w:rFonts w:ascii="Courier New" w:hAnsi="Courier New" w:cs="Times New Roman" w:hint="default"/>
      </w:rPr>
    </w:lvl>
    <w:lvl w:ilvl="8" w:tplc="140A0005">
      <w:numFmt w:val="decimal"/>
      <w:lvlText w:val=""/>
      <w:lvlJc w:val="left"/>
      <w:pPr>
        <w:ind w:left="6840" w:hanging="360"/>
      </w:pPr>
      <w:rPr>
        <w:rFonts w:ascii="Wingdings" w:hAnsi="Wingdings" w:hint="default"/>
      </w:rPr>
    </w:lvl>
  </w:abstractNum>
  <w:abstractNum w:abstractNumId="14" w15:restartNumberingAfterBreak="0">
    <w:nsid w:val="2A843ECA"/>
    <w:multiLevelType w:val="hybridMultilevel"/>
    <w:tmpl w:val="2DE4076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05277E1"/>
    <w:multiLevelType w:val="hybridMultilevel"/>
    <w:tmpl w:val="DB10A8B0"/>
    <w:lvl w:ilvl="0" w:tplc="140A0013">
      <w:start w:val="1"/>
      <w:numFmt w:val="upperRoman"/>
      <w:lvlText w:val="%1."/>
      <w:lvlJc w:val="right"/>
      <w:pPr>
        <w:ind w:left="1080" w:hanging="360"/>
      </w:pPr>
    </w:lvl>
    <w:lvl w:ilvl="1" w:tplc="140A0003">
      <w:start w:val="1"/>
      <w:numFmt w:val="bullet"/>
      <w:lvlText w:val="o"/>
      <w:lvlJc w:val="left"/>
      <w:pPr>
        <w:ind w:left="1800" w:hanging="360"/>
      </w:pPr>
      <w:rPr>
        <w:rFonts w:ascii="Courier New" w:hAnsi="Courier New" w:cs="Times New Roman"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Times New Roman"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Times New Roman" w:hint="default"/>
      </w:rPr>
    </w:lvl>
    <w:lvl w:ilvl="8" w:tplc="140A0005">
      <w:start w:val="1"/>
      <w:numFmt w:val="bullet"/>
      <w:lvlText w:val=""/>
      <w:lvlJc w:val="left"/>
      <w:pPr>
        <w:ind w:left="6840" w:hanging="360"/>
      </w:pPr>
      <w:rPr>
        <w:rFonts w:ascii="Wingdings" w:hAnsi="Wingdings" w:hint="default"/>
      </w:rPr>
    </w:lvl>
  </w:abstractNum>
  <w:abstractNum w:abstractNumId="16" w15:restartNumberingAfterBreak="0">
    <w:nsid w:val="314A2ACE"/>
    <w:multiLevelType w:val="hybridMultilevel"/>
    <w:tmpl w:val="7F4AC65E"/>
    <w:lvl w:ilvl="0" w:tplc="2604D096">
      <w:start w:val="1"/>
      <w:numFmt w:val="decimal"/>
      <w:lvlText w:val="%1-"/>
      <w:lvlJc w:val="left"/>
      <w:pPr>
        <w:ind w:left="966" w:hanging="360"/>
      </w:pPr>
      <w:rPr>
        <w:rFonts w:hint="default"/>
      </w:rPr>
    </w:lvl>
    <w:lvl w:ilvl="1" w:tplc="140A0019" w:tentative="1">
      <w:start w:val="1"/>
      <w:numFmt w:val="lowerLetter"/>
      <w:lvlText w:val="%2."/>
      <w:lvlJc w:val="left"/>
      <w:pPr>
        <w:ind w:left="1686" w:hanging="360"/>
      </w:pPr>
    </w:lvl>
    <w:lvl w:ilvl="2" w:tplc="140A001B" w:tentative="1">
      <w:start w:val="1"/>
      <w:numFmt w:val="lowerRoman"/>
      <w:lvlText w:val="%3."/>
      <w:lvlJc w:val="right"/>
      <w:pPr>
        <w:ind w:left="2406" w:hanging="180"/>
      </w:pPr>
    </w:lvl>
    <w:lvl w:ilvl="3" w:tplc="140A000F" w:tentative="1">
      <w:start w:val="1"/>
      <w:numFmt w:val="decimal"/>
      <w:lvlText w:val="%4."/>
      <w:lvlJc w:val="left"/>
      <w:pPr>
        <w:ind w:left="3126" w:hanging="360"/>
      </w:pPr>
    </w:lvl>
    <w:lvl w:ilvl="4" w:tplc="140A0019" w:tentative="1">
      <w:start w:val="1"/>
      <w:numFmt w:val="lowerLetter"/>
      <w:lvlText w:val="%5."/>
      <w:lvlJc w:val="left"/>
      <w:pPr>
        <w:ind w:left="3846" w:hanging="360"/>
      </w:pPr>
    </w:lvl>
    <w:lvl w:ilvl="5" w:tplc="140A001B" w:tentative="1">
      <w:start w:val="1"/>
      <w:numFmt w:val="lowerRoman"/>
      <w:lvlText w:val="%6."/>
      <w:lvlJc w:val="right"/>
      <w:pPr>
        <w:ind w:left="4566" w:hanging="180"/>
      </w:pPr>
    </w:lvl>
    <w:lvl w:ilvl="6" w:tplc="140A000F" w:tentative="1">
      <w:start w:val="1"/>
      <w:numFmt w:val="decimal"/>
      <w:lvlText w:val="%7."/>
      <w:lvlJc w:val="left"/>
      <w:pPr>
        <w:ind w:left="5286" w:hanging="360"/>
      </w:pPr>
    </w:lvl>
    <w:lvl w:ilvl="7" w:tplc="140A0019" w:tentative="1">
      <w:start w:val="1"/>
      <w:numFmt w:val="lowerLetter"/>
      <w:lvlText w:val="%8."/>
      <w:lvlJc w:val="left"/>
      <w:pPr>
        <w:ind w:left="6006" w:hanging="360"/>
      </w:pPr>
    </w:lvl>
    <w:lvl w:ilvl="8" w:tplc="140A001B" w:tentative="1">
      <w:start w:val="1"/>
      <w:numFmt w:val="lowerRoman"/>
      <w:lvlText w:val="%9."/>
      <w:lvlJc w:val="right"/>
      <w:pPr>
        <w:ind w:left="6726" w:hanging="180"/>
      </w:pPr>
    </w:lvl>
  </w:abstractNum>
  <w:abstractNum w:abstractNumId="17" w15:restartNumberingAfterBreak="0">
    <w:nsid w:val="32F52A97"/>
    <w:multiLevelType w:val="hybridMultilevel"/>
    <w:tmpl w:val="600636EE"/>
    <w:lvl w:ilvl="0" w:tplc="B65A5222">
      <w:start w:val="1"/>
      <w:numFmt w:val="upperRoman"/>
      <w:lvlText w:val="%1."/>
      <w:lvlJc w:val="right"/>
      <w:pPr>
        <w:ind w:left="1080" w:hanging="360"/>
      </w:pPr>
      <w:rPr>
        <w:i w:val="0"/>
        <w:iCs w:val="0"/>
      </w:rPr>
    </w:lvl>
    <w:lvl w:ilvl="1" w:tplc="140A0003">
      <w:start w:val="1"/>
      <w:numFmt w:val="bullet"/>
      <w:lvlText w:val="o"/>
      <w:lvlJc w:val="left"/>
      <w:pPr>
        <w:ind w:left="1800" w:hanging="360"/>
      </w:pPr>
      <w:rPr>
        <w:rFonts w:ascii="Courier New" w:hAnsi="Courier New" w:cs="Times New Roman"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Times New Roman"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Times New Roman" w:hint="default"/>
      </w:rPr>
    </w:lvl>
    <w:lvl w:ilvl="8" w:tplc="140A0005">
      <w:start w:val="1"/>
      <w:numFmt w:val="bullet"/>
      <w:lvlText w:val=""/>
      <w:lvlJc w:val="left"/>
      <w:pPr>
        <w:ind w:left="6840" w:hanging="360"/>
      </w:pPr>
      <w:rPr>
        <w:rFonts w:ascii="Wingdings" w:hAnsi="Wingdings" w:hint="default"/>
      </w:rPr>
    </w:lvl>
  </w:abstractNum>
  <w:abstractNum w:abstractNumId="18" w15:restartNumberingAfterBreak="0">
    <w:nsid w:val="39A3648B"/>
    <w:multiLevelType w:val="multilevel"/>
    <w:tmpl w:val="003A0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BF336E"/>
    <w:multiLevelType w:val="hybridMultilevel"/>
    <w:tmpl w:val="82F2DE74"/>
    <w:lvl w:ilvl="0" w:tplc="FC169368">
      <w:start w:val="1"/>
      <w:numFmt w:val="upperRoman"/>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0" w15:restartNumberingAfterBreak="0">
    <w:nsid w:val="4F303A00"/>
    <w:multiLevelType w:val="hybridMultilevel"/>
    <w:tmpl w:val="00AE765C"/>
    <w:lvl w:ilvl="0" w:tplc="140A0011">
      <w:start w:val="1"/>
      <w:numFmt w:val="decimal"/>
      <w:lvlText w:val="%1)"/>
      <w:lvlJc w:val="left"/>
      <w:pPr>
        <w:ind w:left="785"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55A85298"/>
    <w:multiLevelType w:val="hybridMultilevel"/>
    <w:tmpl w:val="6D4A218E"/>
    <w:lvl w:ilvl="0" w:tplc="60E6C3F6">
      <w:start w:val="12"/>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D125150"/>
    <w:multiLevelType w:val="hybridMultilevel"/>
    <w:tmpl w:val="62D4CD46"/>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5FE4016C"/>
    <w:multiLevelType w:val="multilevel"/>
    <w:tmpl w:val="95EE5402"/>
    <w:lvl w:ilvl="0">
      <w:start w:val="1"/>
      <w:numFmt w:val="decimal"/>
      <w:pStyle w:val="Ttulo1"/>
      <w:lvlText w:val="%1"/>
      <w:lvlJc w:val="left"/>
      <w:pPr>
        <w:ind w:left="432" w:hanging="432"/>
      </w:pPr>
    </w:lvl>
    <w:lvl w:ilvl="1">
      <w:start w:val="1"/>
      <w:numFmt w:val="decimal"/>
      <w:pStyle w:val="Ttulo2"/>
      <w:lvlText w:val="%1.%2"/>
      <w:lvlJc w:val="left"/>
      <w:pPr>
        <w:ind w:left="860" w:hanging="576"/>
      </w:pPr>
    </w:lvl>
    <w:lvl w:ilvl="2">
      <w:start w:val="1"/>
      <w:numFmt w:val="decimal"/>
      <w:pStyle w:val="Ttulo3"/>
      <w:lvlText w:val="%1.%2.%3"/>
      <w:lvlJc w:val="left"/>
      <w:pPr>
        <w:ind w:left="720" w:hanging="720"/>
      </w:pPr>
      <w:rPr>
        <w:sz w:val="28"/>
        <w:szCs w:val="28"/>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60D1041A"/>
    <w:multiLevelType w:val="multilevel"/>
    <w:tmpl w:val="307A4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664710F3"/>
    <w:multiLevelType w:val="hybridMultilevel"/>
    <w:tmpl w:val="FA703C2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80147B6"/>
    <w:multiLevelType w:val="hybridMultilevel"/>
    <w:tmpl w:val="600636EE"/>
    <w:lvl w:ilvl="0" w:tplc="B65A5222">
      <w:start w:val="1"/>
      <w:numFmt w:val="upperRoman"/>
      <w:lvlText w:val="%1."/>
      <w:lvlJc w:val="right"/>
      <w:pPr>
        <w:ind w:left="1080" w:hanging="360"/>
      </w:pPr>
      <w:rPr>
        <w:i w:val="0"/>
        <w:iCs w:val="0"/>
      </w:rPr>
    </w:lvl>
    <w:lvl w:ilvl="1" w:tplc="140A0003">
      <w:start w:val="1"/>
      <w:numFmt w:val="bullet"/>
      <w:lvlText w:val="o"/>
      <w:lvlJc w:val="left"/>
      <w:pPr>
        <w:ind w:left="1800" w:hanging="360"/>
      </w:pPr>
      <w:rPr>
        <w:rFonts w:ascii="Courier New" w:hAnsi="Courier New" w:cs="Times New Roman"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Times New Roman"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Times New Roman" w:hint="default"/>
      </w:rPr>
    </w:lvl>
    <w:lvl w:ilvl="8" w:tplc="140A0005">
      <w:start w:val="1"/>
      <w:numFmt w:val="bullet"/>
      <w:lvlText w:val=""/>
      <w:lvlJc w:val="left"/>
      <w:pPr>
        <w:ind w:left="6840" w:hanging="360"/>
      </w:pPr>
      <w:rPr>
        <w:rFonts w:ascii="Wingdings" w:hAnsi="Wingdings" w:hint="default"/>
      </w:rPr>
    </w:lvl>
  </w:abstractNum>
  <w:abstractNum w:abstractNumId="27" w15:restartNumberingAfterBreak="0">
    <w:nsid w:val="6C4972B4"/>
    <w:multiLevelType w:val="hybridMultilevel"/>
    <w:tmpl w:val="51360ADC"/>
    <w:lvl w:ilvl="0" w:tplc="AE7A0670">
      <w:start w:val="4"/>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8" w15:restartNumberingAfterBreak="0">
    <w:nsid w:val="6D1D3EC0"/>
    <w:multiLevelType w:val="hybridMultilevel"/>
    <w:tmpl w:val="4B5A1D20"/>
    <w:lvl w:ilvl="0" w:tplc="41D856CC">
      <w:start w:val="4"/>
      <w:numFmt w:val="upperRoman"/>
      <w:lvlText w:val="%1."/>
      <w:lvlJc w:val="left"/>
      <w:pPr>
        <w:ind w:left="1080" w:hanging="72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9" w15:restartNumberingAfterBreak="0">
    <w:nsid w:val="729D4393"/>
    <w:multiLevelType w:val="hybridMultilevel"/>
    <w:tmpl w:val="99CC8C0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7C804C7"/>
    <w:multiLevelType w:val="hybridMultilevel"/>
    <w:tmpl w:val="71ECE512"/>
    <w:lvl w:ilvl="0" w:tplc="187CC252">
      <w:numFmt w:val="bullet"/>
      <w:lvlText w:val="-"/>
      <w:lvlJc w:val="left"/>
      <w:pPr>
        <w:ind w:left="720" w:hanging="360"/>
      </w:pPr>
      <w:rPr>
        <w:rFonts w:ascii="Century Gothic" w:eastAsiaTheme="minorHAnsi" w:hAnsi="Century Gothic"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9D52DD1"/>
    <w:multiLevelType w:val="multilevel"/>
    <w:tmpl w:val="DE2CFC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79E87A4F"/>
    <w:multiLevelType w:val="multilevel"/>
    <w:tmpl w:val="EFAC1DAE"/>
    <w:lvl w:ilvl="0">
      <w:start w:val="1"/>
      <w:numFmt w:val="upperLetter"/>
      <w:lvlText w:val="%1."/>
      <w:lvlJc w:val="left"/>
      <w:pPr>
        <w:ind w:left="1080" w:hanging="720"/>
      </w:pPr>
      <w:rPr>
        <w:b/>
        <w:color w:val="auto"/>
        <w:sz w:val="24"/>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7A42097D"/>
    <w:multiLevelType w:val="multilevel"/>
    <w:tmpl w:val="140A001D"/>
    <w:lvl w:ilvl="0">
      <w:start w:val="1"/>
      <w:numFmt w:val="decimal"/>
      <w:lvlText w:val="%1)"/>
      <w:lvlJc w:val="left"/>
      <w:pPr>
        <w:ind w:left="1776" w:hanging="360"/>
      </w:pPr>
    </w:lvl>
    <w:lvl w:ilvl="1">
      <w:start w:val="1"/>
      <w:numFmt w:val="lowerLetter"/>
      <w:lvlText w:val="%2)"/>
      <w:lvlJc w:val="left"/>
      <w:pPr>
        <w:ind w:left="2136" w:hanging="360"/>
      </w:pPr>
    </w:lvl>
    <w:lvl w:ilvl="2">
      <w:start w:val="1"/>
      <w:numFmt w:val="lowerRoman"/>
      <w:lvlText w:val="%3)"/>
      <w:lvlJc w:val="left"/>
      <w:pPr>
        <w:ind w:left="2496" w:hanging="360"/>
      </w:pPr>
    </w:lvl>
    <w:lvl w:ilvl="3">
      <w:start w:val="1"/>
      <w:numFmt w:val="decimal"/>
      <w:lvlText w:val="(%4)"/>
      <w:lvlJc w:val="left"/>
      <w:pPr>
        <w:ind w:left="2856" w:hanging="360"/>
      </w:p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34" w15:restartNumberingAfterBreak="0">
    <w:nsid w:val="7B6B0FC8"/>
    <w:multiLevelType w:val="hybridMultilevel"/>
    <w:tmpl w:val="6A1075B4"/>
    <w:lvl w:ilvl="0" w:tplc="41D856CC">
      <w:start w:val="4"/>
      <w:numFmt w:val="upperRoman"/>
      <w:lvlText w:val="%1."/>
      <w:lvlJc w:val="left"/>
      <w:pPr>
        <w:ind w:left="1080" w:hanging="72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5" w15:restartNumberingAfterBreak="0">
    <w:nsid w:val="7BEF45A1"/>
    <w:multiLevelType w:val="hybridMultilevel"/>
    <w:tmpl w:val="48E0372C"/>
    <w:lvl w:ilvl="0" w:tplc="6E1A32DA">
      <w:start w:val="9"/>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6" w15:restartNumberingAfterBreak="0">
    <w:nsid w:val="7C2D211C"/>
    <w:multiLevelType w:val="multilevel"/>
    <w:tmpl w:val="C2DE7B56"/>
    <w:lvl w:ilvl="0">
      <w:start w:val="11"/>
      <w:numFmt w:val="decimal"/>
      <w:lvlText w:val="%1-0"/>
      <w:lvlJc w:val="left"/>
      <w:pPr>
        <w:ind w:left="1560" w:hanging="480"/>
      </w:pPr>
      <w:rPr>
        <w:rFonts w:hint="default"/>
      </w:rPr>
    </w:lvl>
    <w:lvl w:ilvl="1">
      <w:start w:val="1"/>
      <w:numFmt w:val="decimal"/>
      <w:lvlText w:val="%1-%2"/>
      <w:lvlJc w:val="left"/>
      <w:pPr>
        <w:ind w:left="2268" w:hanging="48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6060" w:hanging="144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836" w:hanging="1800"/>
      </w:pPr>
      <w:rPr>
        <w:rFonts w:hint="default"/>
      </w:rPr>
    </w:lvl>
    <w:lvl w:ilvl="8">
      <w:start w:val="1"/>
      <w:numFmt w:val="decimal"/>
      <w:lvlText w:val="%1-%2.%3.%4.%5.%6.%7.%8.%9"/>
      <w:lvlJc w:val="left"/>
      <w:pPr>
        <w:ind w:left="8544" w:hanging="1800"/>
      </w:pPr>
      <w:rPr>
        <w:rFonts w:hint="default"/>
      </w:rPr>
    </w:lvl>
  </w:abstractNum>
  <w:abstractNum w:abstractNumId="37" w15:restartNumberingAfterBreak="0">
    <w:nsid w:val="7CE70458"/>
    <w:multiLevelType w:val="hybridMultilevel"/>
    <w:tmpl w:val="DB10A8B0"/>
    <w:lvl w:ilvl="0" w:tplc="140A0013">
      <w:start w:val="1"/>
      <w:numFmt w:val="upperRoman"/>
      <w:lvlText w:val="%1."/>
      <w:lvlJc w:val="right"/>
      <w:pPr>
        <w:ind w:left="1080" w:hanging="360"/>
      </w:pPr>
    </w:lvl>
    <w:lvl w:ilvl="1" w:tplc="140A0003">
      <w:start w:val="1"/>
      <w:numFmt w:val="bullet"/>
      <w:lvlText w:val="o"/>
      <w:lvlJc w:val="left"/>
      <w:pPr>
        <w:ind w:left="1800" w:hanging="360"/>
      </w:pPr>
      <w:rPr>
        <w:rFonts w:ascii="Courier New" w:hAnsi="Courier New" w:cs="Times New Roman"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Times New Roman"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Times New Roman" w:hint="default"/>
      </w:rPr>
    </w:lvl>
    <w:lvl w:ilvl="8" w:tplc="140A0005">
      <w:start w:val="1"/>
      <w:numFmt w:val="bullet"/>
      <w:lvlText w:val=""/>
      <w:lvlJc w:val="left"/>
      <w:pPr>
        <w:ind w:left="6840" w:hanging="360"/>
      </w:pPr>
      <w:rPr>
        <w:rFonts w:ascii="Wingdings" w:hAnsi="Wingdings" w:hint="default"/>
      </w:rPr>
    </w:lvl>
  </w:abstractNum>
  <w:num w:numId="1">
    <w:abstractNumId w:val="23"/>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9"/>
  </w:num>
  <w:num w:numId="7">
    <w:abstractNumId w:val="5"/>
  </w:num>
  <w:num w:numId="8">
    <w:abstractNumId w:val="10"/>
  </w:num>
  <w:num w:numId="9">
    <w:abstractNumId w:val="22"/>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lvlOverride w:ilvl="0">
      <w:startOverride w:val="1"/>
    </w:lvlOverride>
    <w:lvlOverride w:ilvl="1"/>
    <w:lvlOverride w:ilvl="2"/>
    <w:lvlOverride w:ilvl="3"/>
    <w:lvlOverride w:ilvl="4"/>
    <w:lvlOverride w:ilvl="5"/>
    <w:lvlOverride w:ilvl="6"/>
    <w:lvlOverride w:ilvl="7"/>
    <w:lvlOverride w:ilvl="8"/>
  </w:num>
  <w:num w:numId="14">
    <w:abstractNumId w:val="37"/>
    <w:lvlOverride w:ilvl="0">
      <w:startOverride w:val="1"/>
    </w:lvlOverride>
    <w:lvlOverride w:ilvl="1"/>
    <w:lvlOverride w:ilvl="2"/>
    <w:lvlOverride w:ilvl="3"/>
    <w:lvlOverride w:ilvl="4"/>
    <w:lvlOverride w:ilvl="5"/>
    <w:lvlOverride w:ilvl="6"/>
    <w:lvlOverride w:ilvl="7"/>
    <w:lvlOverride w:ilvl="8"/>
  </w:num>
  <w:num w:numId="15">
    <w:abstractNumId w:val="19"/>
  </w:num>
  <w:num w:numId="16">
    <w:abstractNumId w:val="26"/>
  </w:num>
  <w:num w:numId="17">
    <w:abstractNumId w:val="24"/>
  </w:num>
  <w:num w:numId="18">
    <w:abstractNumId w:val="32"/>
  </w:num>
  <w:num w:numId="19">
    <w:abstractNumId w:val="31"/>
  </w:num>
  <w:num w:numId="20">
    <w:abstractNumId w:val="18"/>
  </w:num>
  <w:num w:numId="21">
    <w:abstractNumId w:val="8"/>
  </w:num>
  <w:num w:numId="22">
    <w:abstractNumId w:val="14"/>
  </w:num>
  <w:num w:numId="23">
    <w:abstractNumId w:val="9"/>
  </w:num>
  <w:num w:numId="24">
    <w:abstractNumId w:val="35"/>
  </w:num>
  <w:num w:numId="25">
    <w:abstractNumId w:val="21"/>
  </w:num>
  <w:num w:numId="26">
    <w:abstractNumId w:val="23"/>
    <w:lvlOverride w:ilvl="0">
      <w:startOverride w:val="17"/>
    </w:lvlOverride>
    <w:lvlOverride w:ilvl="1">
      <w:startOverride w:val="5"/>
    </w:lvlOverride>
  </w:num>
  <w:num w:numId="27">
    <w:abstractNumId w:val="23"/>
    <w:lvlOverride w:ilvl="0">
      <w:startOverride w:val="17"/>
    </w:lvlOverride>
    <w:lvlOverride w:ilvl="1">
      <w:startOverride w:val="6"/>
    </w:lvlOverride>
  </w:num>
  <w:num w:numId="28">
    <w:abstractNumId w:val="23"/>
    <w:lvlOverride w:ilvl="0">
      <w:startOverride w:val="17"/>
    </w:lvlOverride>
    <w:lvlOverride w:ilvl="1">
      <w:startOverride w:val="6"/>
    </w:lvlOverride>
  </w:num>
  <w:num w:numId="29">
    <w:abstractNumId w:val="36"/>
  </w:num>
  <w:num w:numId="30">
    <w:abstractNumId w:val="7"/>
  </w:num>
  <w:num w:numId="31">
    <w:abstractNumId w:val="16"/>
  </w:num>
  <w:num w:numId="3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5"/>
  </w:num>
  <w:num w:numId="35">
    <w:abstractNumId w:val="34"/>
  </w:num>
  <w:num w:numId="36">
    <w:abstractNumId w:val="12"/>
  </w:num>
  <w:num w:numId="37">
    <w:abstractNumId w:val="15"/>
  </w:num>
  <w:num w:numId="38">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activeWritingStyle w:appName="MSWord" w:lang="es-ES" w:vendorID="64" w:dllVersion="6" w:nlCheck="1" w:checkStyle="1"/>
  <w:activeWritingStyle w:appName="MSWord" w:lang="en-US" w:vendorID="64" w:dllVersion="6" w:nlCheck="1" w:checkStyle="1"/>
  <w:activeWritingStyle w:appName="MSWord" w:lang="es-CR" w:vendorID="64" w:dllVersion="6" w:nlCheck="1" w:checkStyle="1"/>
  <w:activeWritingStyle w:appName="MSWord" w:lang="es-ES_tradnl" w:vendorID="64" w:dllVersion="6" w:nlCheck="1" w:checkStyle="1"/>
  <w:activeWritingStyle w:appName="MSWord" w:lang="es-GT"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C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CL" w:vendorID="64" w:dllVersion="6" w:nlCheck="1" w:checkStyle="1"/>
  <w:activeWritingStyle w:appName="MSWord" w:lang="es-ES_tradnl"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A2"/>
    <w:rsid w:val="00000405"/>
    <w:rsid w:val="00000541"/>
    <w:rsid w:val="00000818"/>
    <w:rsid w:val="00000952"/>
    <w:rsid w:val="00000D07"/>
    <w:rsid w:val="00000FDF"/>
    <w:rsid w:val="00001109"/>
    <w:rsid w:val="000055E9"/>
    <w:rsid w:val="00012CBA"/>
    <w:rsid w:val="00012CEB"/>
    <w:rsid w:val="000132C4"/>
    <w:rsid w:val="00014D6C"/>
    <w:rsid w:val="000153E4"/>
    <w:rsid w:val="0001744B"/>
    <w:rsid w:val="00020547"/>
    <w:rsid w:val="00021F36"/>
    <w:rsid w:val="00022371"/>
    <w:rsid w:val="00022B05"/>
    <w:rsid w:val="00022F3C"/>
    <w:rsid w:val="00027C9C"/>
    <w:rsid w:val="00031C27"/>
    <w:rsid w:val="000328E6"/>
    <w:rsid w:val="00034962"/>
    <w:rsid w:val="0003584F"/>
    <w:rsid w:val="000370FD"/>
    <w:rsid w:val="00037885"/>
    <w:rsid w:val="00037CF2"/>
    <w:rsid w:val="000411EE"/>
    <w:rsid w:val="0004261F"/>
    <w:rsid w:val="000444F3"/>
    <w:rsid w:val="0004494E"/>
    <w:rsid w:val="0004567D"/>
    <w:rsid w:val="000465B1"/>
    <w:rsid w:val="00047CAD"/>
    <w:rsid w:val="00050B8B"/>
    <w:rsid w:val="00051490"/>
    <w:rsid w:val="00051CD0"/>
    <w:rsid w:val="00054767"/>
    <w:rsid w:val="000551F2"/>
    <w:rsid w:val="00060129"/>
    <w:rsid w:val="00061366"/>
    <w:rsid w:val="000614B4"/>
    <w:rsid w:val="0006331F"/>
    <w:rsid w:val="000638E7"/>
    <w:rsid w:val="00063E6A"/>
    <w:rsid w:val="00063F7E"/>
    <w:rsid w:val="00064410"/>
    <w:rsid w:val="00064FD1"/>
    <w:rsid w:val="000665CA"/>
    <w:rsid w:val="00066E7C"/>
    <w:rsid w:val="0006701A"/>
    <w:rsid w:val="00067F7F"/>
    <w:rsid w:val="0007087C"/>
    <w:rsid w:val="00071CA3"/>
    <w:rsid w:val="00072441"/>
    <w:rsid w:val="000748A4"/>
    <w:rsid w:val="00075EC5"/>
    <w:rsid w:val="00076C42"/>
    <w:rsid w:val="0007736F"/>
    <w:rsid w:val="00080F85"/>
    <w:rsid w:val="00081D0B"/>
    <w:rsid w:val="000827D5"/>
    <w:rsid w:val="00083ED4"/>
    <w:rsid w:val="000910E0"/>
    <w:rsid w:val="0009366D"/>
    <w:rsid w:val="000970BD"/>
    <w:rsid w:val="000973D7"/>
    <w:rsid w:val="00097C0E"/>
    <w:rsid w:val="000A002E"/>
    <w:rsid w:val="000A03D3"/>
    <w:rsid w:val="000A1412"/>
    <w:rsid w:val="000A24AB"/>
    <w:rsid w:val="000A2B2A"/>
    <w:rsid w:val="000A3DD1"/>
    <w:rsid w:val="000A4EB5"/>
    <w:rsid w:val="000A5304"/>
    <w:rsid w:val="000A5B86"/>
    <w:rsid w:val="000A6357"/>
    <w:rsid w:val="000A6F10"/>
    <w:rsid w:val="000A6F95"/>
    <w:rsid w:val="000A6FF4"/>
    <w:rsid w:val="000B06F9"/>
    <w:rsid w:val="000B17AD"/>
    <w:rsid w:val="000B49B9"/>
    <w:rsid w:val="000B5525"/>
    <w:rsid w:val="000B5FAB"/>
    <w:rsid w:val="000B6ACB"/>
    <w:rsid w:val="000C0F6D"/>
    <w:rsid w:val="000C3D4E"/>
    <w:rsid w:val="000C492F"/>
    <w:rsid w:val="000C69A3"/>
    <w:rsid w:val="000C6C3C"/>
    <w:rsid w:val="000D1894"/>
    <w:rsid w:val="000D20A0"/>
    <w:rsid w:val="000D210B"/>
    <w:rsid w:val="000D3614"/>
    <w:rsid w:val="000D42B1"/>
    <w:rsid w:val="000D4BDC"/>
    <w:rsid w:val="000D4CE1"/>
    <w:rsid w:val="000D4ED2"/>
    <w:rsid w:val="000D7433"/>
    <w:rsid w:val="000D74DB"/>
    <w:rsid w:val="000E0039"/>
    <w:rsid w:val="000E1021"/>
    <w:rsid w:val="000E110E"/>
    <w:rsid w:val="000E1F44"/>
    <w:rsid w:val="000E2459"/>
    <w:rsid w:val="000E4A95"/>
    <w:rsid w:val="000E5896"/>
    <w:rsid w:val="000E5B84"/>
    <w:rsid w:val="000E6A5D"/>
    <w:rsid w:val="000F0C61"/>
    <w:rsid w:val="000F364A"/>
    <w:rsid w:val="000F37A5"/>
    <w:rsid w:val="000F4E7F"/>
    <w:rsid w:val="000F560A"/>
    <w:rsid w:val="000F68C3"/>
    <w:rsid w:val="000F712F"/>
    <w:rsid w:val="0010160B"/>
    <w:rsid w:val="00101BA6"/>
    <w:rsid w:val="00102AC0"/>
    <w:rsid w:val="00103869"/>
    <w:rsid w:val="00104A23"/>
    <w:rsid w:val="00104D58"/>
    <w:rsid w:val="00106E12"/>
    <w:rsid w:val="001074BC"/>
    <w:rsid w:val="00107D44"/>
    <w:rsid w:val="00110A44"/>
    <w:rsid w:val="00111243"/>
    <w:rsid w:val="00111FB3"/>
    <w:rsid w:val="00112F48"/>
    <w:rsid w:val="001139E0"/>
    <w:rsid w:val="0011476E"/>
    <w:rsid w:val="00114CD9"/>
    <w:rsid w:val="00114DAA"/>
    <w:rsid w:val="001153A8"/>
    <w:rsid w:val="00117250"/>
    <w:rsid w:val="0011736C"/>
    <w:rsid w:val="001226F9"/>
    <w:rsid w:val="00122A5A"/>
    <w:rsid w:val="0012332F"/>
    <w:rsid w:val="001237F6"/>
    <w:rsid w:val="0012419C"/>
    <w:rsid w:val="0012491C"/>
    <w:rsid w:val="0012702E"/>
    <w:rsid w:val="00130C4E"/>
    <w:rsid w:val="00131148"/>
    <w:rsid w:val="001311D9"/>
    <w:rsid w:val="00131386"/>
    <w:rsid w:val="001321B0"/>
    <w:rsid w:val="00135B6F"/>
    <w:rsid w:val="00136732"/>
    <w:rsid w:val="00136B76"/>
    <w:rsid w:val="00137533"/>
    <w:rsid w:val="00137729"/>
    <w:rsid w:val="00137A6A"/>
    <w:rsid w:val="00140277"/>
    <w:rsid w:val="00140351"/>
    <w:rsid w:val="00140D37"/>
    <w:rsid w:val="00141905"/>
    <w:rsid w:val="00141977"/>
    <w:rsid w:val="00142DB6"/>
    <w:rsid w:val="00146033"/>
    <w:rsid w:val="00146B38"/>
    <w:rsid w:val="001512B4"/>
    <w:rsid w:val="001518AF"/>
    <w:rsid w:val="0015194F"/>
    <w:rsid w:val="00151F62"/>
    <w:rsid w:val="00152C26"/>
    <w:rsid w:val="00152D03"/>
    <w:rsid w:val="001542AD"/>
    <w:rsid w:val="001563A0"/>
    <w:rsid w:val="001578FD"/>
    <w:rsid w:val="00164A21"/>
    <w:rsid w:val="00164B46"/>
    <w:rsid w:val="0016513C"/>
    <w:rsid w:val="0017065D"/>
    <w:rsid w:val="00171A52"/>
    <w:rsid w:val="00172260"/>
    <w:rsid w:val="00173542"/>
    <w:rsid w:val="00174A01"/>
    <w:rsid w:val="00174B1A"/>
    <w:rsid w:val="001809ED"/>
    <w:rsid w:val="0018237F"/>
    <w:rsid w:val="001823AD"/>
    <w:rsid w:val="0018268F"/>
    <w:rsid w:val="00183023"/>
    <w:rsid w:val="001859E8"/>
    <w:rsid w:val="0018702F"/>
    <w:rsid w:val="001877AE"/>
    <w:rsid w:val="00191F54"/>
    <w:rsid w:val="001921FD"/>
    <w:rsid w:val="00193127"/>
    <w:rsid w:val="0019389B"/>
    <w:rsid w:val="00195E19"/>
    <w:rsid w:val="001967AC"/>
    <w:rsid w:val="00196DBF"/>
    <w:rsid w:val="00197DD6"/>
    <w:rsid w:val="001A03D8"/>
    <w:rsid w:val="001A09CB"/>
    <w:rsid w:val="001A29F0"/>
    <w:rsid w:val="001A3250"/>
    <w:rsid w:val="001A325A"/>
    <w:rsid w:val="001A3AD8"/>
    <w:rsid w:val="001A3C91"/>
    <w:rsid w:val="001A4DA0"/>
    <w:rsid w:val="001A556D"/>
    <w:rsid w:val="001A6209"/>
    <w:rsid w:val="001A6332"/>
    <w:rsid w:val="001A6CFC"/>
    <w:rsid w:val="001B0288"/>
    <w:rsid w:val="001B3023"/>
    <w:rsid w:val="001B65EA"/>
    <w:rsid w:val="001B6D5A"/>
    <w:rsid w:val="001C1AE1"/>
    <w:rsid w:val="001C308B"/>
    <w:rsid w:val="001C7745"/>
    <w:rsid w:val="001D067C"/>
    <w:rsid w:val="001D11E4"/>
    <w:rsid w:val="001D3120"/>
    <w:rsid w:val="001D48EF"/>
    <w:rsid w:val="001D568E"/>
    <w:rsid w:val="001E097E"/>
    <w:rsid w:val="001E21FB"/>
    <w:rsid w:val="001E2722"/>
    <w:rsid w:val="001E300B"/>
    <w:rsid w:val="001E5800"/>
    <w:rsid w:val="001E60BF"/>
    <w:rsid w:val="001E66A1"/>
    <w:rsid w:val="001E67E4"/>
    <w:rsid w:val="001E6A1D"/>
    <w:rsid w:val="001E6C33"/>
    <w:rsid w:val="001E74DC"/>
    <w:rsid w:val="001E7556"/>
    <w:rsid w:val="001F0AF2"/>
    <w:rsid w:val="001F159C"/>
    <w:rsid w:val="001F1B55"/>
    <w:rsid w:val="001F3A58"/>
    <w:rsid w:val="001F40A2"/>
    <w:rsid w:val="001F6555"/>
    <w:rsid w:val="001F7ED4"/>
    <w:rsid w:val="00200C77"/>
    <w:rsid w:val="00201A26"/>
    <w:rsid w:val="00201B38"/>
    <w:rsid w:val="00203632"/>
    <w:rsid w:val="002049F0"/>
    <w:rsid w:val="00204F32"/>
    <w:rsid w:val="00205EC8"/>
    <w:rsid w:val="00207C42"/>
    <w:rsid w:val="00207E8C"/>
    <w:rsid w:val="00210136"/>
    <w:rsid w:val="00210D92"/>
    <w:rsid w:val="0021247A"/>
    <w:rsid w:val="00215289"/>
    <w:rsid w:val="002154D5"/>
    <w:rsid w:val="00215A7F"/>
    <w:rsid w:val="00217642"/>
    <w:rsid w:val="002178D5"/>
    <w:rsid w:val="002236E0"/>
    <w:rsid w:val="0022539E"/>
    <w:rsid w:val="00225470"/>
    <w:rsid w:val="00225DB4"/>
    <w:rsid w:val="00225FF4"/>
    <w:rsid w:val="00230BD6"/>
    <w:rsid w:val="00235069"/>
    <w:rsid w:val="0023527E"/>
    <w:rsid w:val="002357E6"/>
    <w:rsid w:val="00237247"/>
    <w:rsid w:val="002375CE"/>
    <w:rsid w:val="00241171"/>
    <w:rsid w:val="002417FA"/>
    <w:rsid w:val="002449EF"/>
    <w:rsid w:val="002461A2"/>
    <w:rsid w:val="0024681B"/>
    <w:rsid w:val="00246E76"/>
    <w:rsid w:val="0024744E"/>
    <w:rsid w:val="00247970"/>
    <w:rsid w:val="002479B5"/>
    <w:rsid w:val="00250321"/>
    <w:rsid w:val="002515EE"/>
    <w:rsid w:val="00254D50"/>
    <w:rsid w:val="002555EE"/>
    <w:rsid w:val="00255F40"/>
    <w:rsid w:val="00256A1C"/>
    <w:rsid w:val="00257485"/>
    <w:rsid w:val="002575F9"/>
    <w:rsid w:val="002579FA"/>
    <w:rsid w:val="00262654"/>
    <w:rsid w:val="002643F7"/>
    <w:rsid w:val="002653C7"/>
    <w:rsid w:val="00266281"/>
    <w:rsid w:val="00270898"/>
    <w:rsid w:val="00271C1D"/>
    <w:rsid w:val="0027291A"/>
    <w:rsid w:val="00273BD2"/>
    <w:rsid w:val="00274B71"/>
    <w:rsid w:val="002763F0"/>
    <w:rsid w:val="00280F1F"/>
    <w:rsid w:val="00281EE1"/>
    <w:rsid w:val="0028208E"/>
    <w:rsid w:val="002828EF"/>
    <w:rsid w:val="00283C3A"/>
    <w:rsid w:val="002849A1"/>
    <w:rsid w:val="00285939"/>
    <w:rsid w:val="002859A2"/>
    <w:rsid w:val="002908F2"/>
    <w:rsid w:val="0029157B"/>
    <w:rsid w:val="002920B1"/>
    <w:rsid w:val="00292C74"/>
    <w:rsid w:val="002943E7"/>
    <w:rsid w:val="00294DB9"/>
    <w:rsid w:val="00296A7D"/>
    <w:rsid w:val="00296C16"/>
    <w:rsid w:val="00297FC9"/>
    <w:rsid w:val="002A007E"/>
    <w:rsid w:val="002A1160"/>
    <w:rsid w:val="002A12BB"/>
    <w:rsid w:val="002A3906"/>
    <w:rsid w:val="002A6304"/>
    <w:rsid w:val="002A782F"/>
    <w:rsid w:val="002B0FCF"/>
    <w:rsid w:val="002B184F"/>
    <w:rsid w:val="002B24A2"/>
    <w:rsid w:val="002B2A90"/>
    <w:rsid w:val="002B3AE9"/>
    <w:rsid w:val="002B71C2"/>
    <w:rsid w:val="002B73BC"/>
    <w:rsid w:val="002C091B"/>
    <w:rsid w:val="002C1ED8"/>
    <w:rsid w:val="002C2778"/>
    <w:rsid w:val="002C3EF0"/>
    <w:rsid w:val="002C455F"/>
    <w:rsid w:val="002C53F4"/>
    <w:rsid w:val="002C7524"/>
    <w:rsid w:val="002D2A5D"/>
    <w:rsid w:val="002D2E99"/>
    <w:rsid w:val="002D3742"/>
    <w:rsid w:val="002D4F52"/>
    <w:rsid w:val="002D500D"/>
    <w:rsid w:val="002D6E7D"/>
    <w:rsid w:val="002E04A6"/>
    <w:rsid w:val="002E056A"/>
    <w:rsid w:val="002E1364"/>
    <w:rsid w:val="002E1779"/>
    <w:rsid w:val="002E2CE4"/>
    <w:rsid w:val="002E3BA5"/>
    <w:rsid w:val="002E3D0E"/>
    <w:rsid w:val="002E4270"/>
    <w:rsid w:val="002E5587"/>
    <w:rsid w:val="002F2927"/>
    <w:rsid w:val="002F3279"/>
    <w:rsid w:val="002F4EF6"/>
    <w:rsid w:val="002F5D27"/>
    <w:rsid w:val="002F5DF4"/>
    <w:rsid w:val="002F7058"/>
    <w:rsid w:val="003013D8"/>
    <w:rsid w:val="00301A75"/>
    <w:rsid w:val="00303BD1"/>
    <w:rsid w:val="003041AD"/>
    <w:rsid w:val="00304477"/>
    <w:rsid w:val="00305B44"/>
    <w:rsid w:val="00306E59"/>
    <w:rsid w:val="00310A16"/>
    <w:rsid w:val="00311957"/>
    <w:rsid w:val="00312827"/>
    <w:rsid w:val="00313D04"/>
    <w:rsid w:val="00313D06"/>
    <w:rsid w:val="003159C8"/>
    <w:rsid w:val="00315FEB"/>
    <w:rsid w:val="00317288"/>
    <w:rsid w:val="00320CB0"/>
    <w:rsid w:val="00320CE6"/>
    <w:rsid w:val="003215F3"/>
    <w:rsid w:val="003220DF"/>
    <w:rsid w:val="00322EAE"/>
    <w:rsid w:val="00322EB9"/>
    <w:rsid w:val="00323121"/>
    <w:rsid w:val="00323295"/>
    <w:rsid w:val="003258DB"/>
    <w:rsid w:val="00327099"/>
    <w:rsid w:val="0032750A"/>
    <w:rsid w:val="00327951"/>
    <w:rsid w:val="00330653"/>
    <w:rsid w:val="00330725"/>
    <w:rsid w:val="00330BBD"/>
    <w:rsid w:val="00330CC1"/>
    <w:rsid w:val="00332DD8"/>
    <w:rsid w:val="00334549"/>
    <w:rsid w:val="0033479A"/>
    <w:rsid w:val="00335F60"/>
    <w:rsid w:val="00337FE5"/>
    <w:rsid w:val="00342472"/>
    <w:rsid w:val="0034329B"/>
    <w:rsid w:val="0034432A"/>
    <w:rsid w:val="00345868"/>
    <w:rsid w:val="00345B41"/>
    <w:rsid w:val="00347AAB"/>
    <w:rsid w:val="00351097"/>
    <w:rsid w:val="003513FD"/>
    <w:rsid w:val="00351EBA"/>
    <w:rsid w:val="0035289D"/>
    <w:rsid w:val="00356020"/>
    <w:rsid w:val="00356493"/>
    <w:rsid w:val="0035705E"/>
    <w:rsid w:val="00357247"/>
    <w:rsid w:val="00360720"/>
    <w:rsid w:val="003615BA"/>
    <w:rsid w:val="003615D6"/>
    <w:rsid w:val="00361B82"/>
    <w:rsid w:val="00361DA6"/>
    <w:rsid w:val="00364B65"/>
    <w:rsid w:val="003668CB"/>
    <w:rsid w:val="0037069B"/>
    <w:rsid w:val="00370ACC"/>
    <w:rsid w:val="00370DE0"/>
    <w:rsid w:val="00371CE9"/>
    <w:rsid w:val="00374064"/>
    <w:rsid w:val="0037459F"/>
    <w:rsid w:val="00375FA4"/>
    <w:rsid w:val="00381EE8"/>
    <w:rsid w:val="00382AF0"/>
    <w:rsid w:val="003832E1"/>
    <w:rsid w:val="00383B39"/>
    <w:rsid w:val="00383BD7"/>
    <w:rsid w:val="00386559"/>
    <w:rsid w:val="0038750D"/>
    <w:rsid w:val="00390F3B"/>
    <w:rsid w:val="00391872"/>
    <w:rsid w:val="00391EB8"/>
    <w:rsid w:val="003922C1"/>
    <w:rsid w:val="003932DD"/>
    <w:rsid w:val="00394525"/>
    <w:rsid w:val="00394821"/>
    <w:rsid w:val="00394DD0"/>
    <w:rsid w:val="00394E3A"/>
    <w:rsid w:val="003972FB"/>
    <w:rsid w:val="003A04ED"/>
    <w:rsid w:val="003A192D"/>
    <w:rsid w:val="003A2A52"/>
    <w:rsid w:val="003A3581"/>
    <w:rsid w:val="003A5016"/>
    <w:rsid w:val="003A5795"/>
    <w:rsid w:val="003A5961"/>
    <w:rsid w:val="003A69D4"/>
    <w:rsid w:val="003A75DF"/>
    <w:rsid w:val="003A782C"/>
    <w:rsid w:val="003A7B8B"/>
    <w:rsid w:val="003A7F1C"/>
    <w:rsid w:val="003B02D5"/>
    <w:rsid w:val="003B06C6"/>
    <w:rsid w:val="003B06E7"/>
    <w:rsid w:val="003B112D"/>
    <w:rsid w:val="003B3235"/>
    <w:rsid w:val="003B56A6"/>
    <w:rsid w:val="003B76F0"/>
    <w:rsid w:val="003C0ED6"/>
    <w:rsid w:val="003C0F2E"/>
    <w:rsid w:val="003C16F3"/>
    <w:rsid w:val="003C3391"/>
    <w:rsid w:val="003C37C2"/>
    <w:rsid w:val="003C3B5E"/>
    <w:rsid w:val="003C4418"/>
    <w:rsid w:val="003C5128"/>
    <w:rsid w:val="003C5320"/>
    <w:rsid w:val="003C5F37"/>
    <w:rsid w:val="003C6B95"/>
    <w:rsid w:val="003D0D31"/>
    <w:rsid w:val="003D1277"/>
    <w:rsid w:val="003D3465"/>
    <w:rsid w:val="003D447B"/>
    <w:rsid w:val="003D59B6"/>
    <w:rsid w:val="003D5ECF"/>
    <w:rsid w:val="003D6104"/>
    <w:rsid w:val="003D614C"/>
    <w:rsid w:val="003D70EB"/>
    <w:rsid w:val="003D73B9"/>
    <w:rsid w:val="003D744E"/>
    <w:rsid w:val="003E23C9"/>
    <w:rsid w:val="003E24AF"/>
    <w:rsid w:val="003E40D5"/>
    <w:rsid w:val="003E4D19"/>
    <w:rsid w:val="003E5964"/>
    <w:rsid w:val="003F0D2F"/>
    <w:rsid w:val="003F11EC"/>
    <w:rsid w:val="003F1664"/>
    <w:rsid w:val="003F4D12"/>
    <w:rsid w:val="003F5C81"/>
    <w:rsid w:val="003F769F"/>
    <w:rsid w:val="00402526"/>
    <w:rsid w:val="00403368"/>
    <w:rsid w:val="00404564"/>
    <w:rsid w:val="00407DAD"/>
    <w:rsid w:val="0041008F"/>
    <w:rsid w:val="004103C9"/>
    <w:rsid w:val="004107A2"/>
    <w:rsid w:val="004111AD"/>
    <w:rsid w:val="00411ABA"/>
    <w:rsid w:val="004127FD"/>
    <w:rsid w:val="00415CDB"/>
    <w:rsid w:val="00415F5B"/>
    <w:rsid w:val="0041664A"/>
    <w:rsid w:val="004171CC"/>
    <w:rsid w:val="0042188A"/>
    <w:rsid w:val="00421F15"/>
    <w:rsid w:val="0042375E"/>
    <w:rsid w:val="00424751"/>
    <w:rsid w:val="00425CDC"/>
    <w:rsid w:val="00431788"/>
    <w:rsid w:val="00434C69"/>
    <w:rsid w:val="00436457"/>
    <w:rsid w:val="00436460"/>
    <w:rsid w:val="00436EEA"/>
    <w:rsid w:val="00440211"/>
    <w:rsid w:val="00440344"/>
    <w:rsid w:val="004406AE"/>
    <w:rsid w:val="00441760"/>
    <w:rsid w:val="00441803"/>
    <w:rsid w:val="0044249D"/>
    <w:rsid w:val="0044300F"/>
    <w:rsid w:val="0044409B"/>
    <w:rsid w:val="00444E8B"/>
    <w:rsid w:val="0044554A"/>
    <w:rsid w:val="0045050E"/>
    <w:rsid w:val="004516B7"/>
    <w:rsid w:val="00451B8A"/>
    <w:rsid w:val="00451D3D"/>
    <w:rsid w:val="00451E8F"/>
    <w:rsid w:val="0045242E"/>
    <w:rsid w:val="00452F1B"/>
    <w:rsid w:val="004540A1"/>
    <w:rsid w:val="00454483"/>
    <w:rsid w:val="00456EBB"/>
    <w:rsid w:val="00456ED9"/>
    <w:rsid w:val="00463D88"/>
    <w:rsid w:val="00464FCF"/>
    <w:rsid w:val="004664B9"/>
    <w:rsid w:val="00466BE5"/>
    <w:rsid w:val="0046784E"/>
    <w:rsid w:val="004706C9"/>
    <w:rsid w:val="00471562"/>
    <w:rsid w:val="0047277C"/>
    <w:rsid w:val="00474E2E"/>
    <w:rsid w:val="0047518F"/>
    <w:rsid w:val="004764EA"/>
    <w:rsid w:val="00477848"/>
    <w:rsid w:val="00480620"/>
    <w:rsid w:val="0048462F"/>
    <w:rsid w:val="00485500"/>
    <w:rsid w:val="004855F8"/>
    <w:rsid w:val="0048600C"/>
    <w:rsid w:val="0048669E"/>
    <w:rsid w:val="00486C6C"/>
    <w:rsid w:val="00487B15"/>
    <w:rsid w:val="004902B7"/>
    <w:rsid w:val="004905E4"/>
    <w:rsid w:val="00490BB9"/>
    <w:rsid w:val="00490F6A"/>
    <w:rsid w:val="004934D5"/>
    <w:rsid w:val="0049365B"/>
    <w:rsid w:val="00493825"/>
    <w:rsid w:val="004958A4"/>
    <w:rsid w:val="00495975"/>
    <w:rsid w:val="00496807"/>
    <w:rsid w:val="004968A3"/>
    <w:rsid w:val="004A490A"/>
    <w:rsid w:val="004A5855"/>
    <w:rsid w:val="004B0696"/>
    <w:rsid w:val="004B0B55"/>
    <w:rsid w:val="004B0C16"/>
    <w:rsid w:val="004B56B2"/>
    <w:rsid w:val="004B7FD9"/>
    <w:rsid w:val="004C0182"/>
    <w:rsid w:val="004C0B84"/>
    <w:rsid w:val="004C10B1"/>
    <w:rsid w:val="004C5C0E"/>
    <w:rsid w:val="004C6685"/>
    <w:rsid w:val="004C66A3"/>
    <w:rsid w:val="004D040E"/>
    <w:rsid w:val="004D076F"/>
    <w:rsid w:val="004D2A05"/>
    <w:rsid w:val="004D2B78"/>
    <w:rsid w:val="004D52F6"/>
    <w:rsid w:val="004D569C"/>
    <w:rsid w:val="004D64B3"/>
    <w:rsid w:val="004E0F82"/>
    <w:rsid w:val="004E1CCF"/>
    <w:rsid w:val="004E3D6B"/>
    <w:rsid w:val="004E756C"/>
    <w:rsid w:val="004F28F2"/>
    <w:rsid w:val="004F2D42"/>
    <w:rsid w:val="004F5B11"/>
    <w:rsid w:val="005002D9"/>
    <w:rsid w:val="005016CD"/>
    <w:rsid w:val="00501F76"/>
    <w:rsid w:val="005023E3"/>
    <w:rsid w:val="005027C3"/>
    <w:rsid w:val="00503686"/>
    <w:rsid w:val="00505045"/>
    <w:rsid w:val="0050611D"/>
    <w:rsid w:val="00507958"/>
    <w:rsid w:val="00511543"/>
    <w:rsid w:val="00511CEC"/>
    <w:rsid w:val="00512561"/>
    <w:rsid w:val="0051392A"/>
    <w:rsid w:val="0052181B"/>
    <w:rsid w:val="00522C43"/>
    <w:rsid w:val="00523137"/>
    <w:rsid w:val="00526A96"/>
    <w:rsid w:val="0052783D"/>
    <w:rsid w:val="00527CFD"/>
    <w:rsid w:val="00527E11"/>
    <w:rsid w:val="005318A2"/>
    <w:rsid w:val="00531F2B"/>
    <w:rsid w:val="0053298B"/>
    <w:rsid w:val="00533E1A"/>
    <w:rsid w:val="0053441B"/>
    <w:rsid w:val="00535588"/>
    <w:rsid w:val="00535635"/>
    <w:rsid w:val="0053798A"/>
    <w:rsid w:val="00541D30"/>
    <w:rsid w:val="0054530A"/>
    <w:rsid w:val="0054604B"/>
    <w:rsid w:val="0054696C"/>
    <w:rsid w:val="00547E8B"/>
    <w:rsid w:val="005500F3"/>
    <w:rsid w:val="005510F1"/>
    <w:rsid w:val="00553F57"/>
    <w:rsid w:val="00556AF3"/>
    <w:rsid w:val="00556C6C"/>
    <w:rsid w:val="005573C2"/>
    <w:rsid w:val="0055767B"/>
    <w:rsid w:val="00557A7A"/>
    <w:rsid w:val="00560FB5"/>
    <w:rsid w:val="00561788"/>
    <w:rsid w:val="00561FE3"/>
    <w:rsid w:val="005638FE"/>
    <w:rsid w:val="0056411F"/>
    <w:rsid w:val="00564DB9"/>
    <w:rsid w:val="0056697D"/>
    <w:rsid w:val="00570BA6"/>
    <w:rsid w:val="0057165A"/>
    <w:rsid w:val="005720B8"/>
    <w:rsid w:val="005731D5"/>
    <w:rsid w:val="005734AC"/>
    <w:rsid w:val="005737D3"/>
    <w:rsid w:val="005739DC"/>
    <w:rsid w:val="0057654D"/>
    <w:rsid w:val="0057695E"/>
    <w:rsid w:val="0058232E"/>
    <w:rsid w:val="00583ECB"/>
    <w:rsid w:val="00586C2C"/>
    <w:rsid w:val="00587369"/>
    <w:rsid w:val="005875B2"/>
    <w:rsid w:val="00587899"/>
    <w:rsid w:val="0059047C"/>
    <w:rsid w:val="005923D5"/>
    <w:rsid w:val="00597FE8"/>
    <w:rsid w:val="005A0DB8"/>
    <w:rsid w:val="005A38A1"/>
    <w:rsid w:val="005A4070"/>
    <w:rsid w:val="005A459E"/>
    <w:rsid w:val="005A717D"/>
    <w:rsid w:val="005A743E"/>
    <w:rsid w:val="005A77B9"/>
    <w:rsid w:val="005A7FF3"/>
    <w:rsid w:val="005B041A"/>
    <w:rsid w:val="005B0C5A"/>
    <w:rsid w:val="005B1687"/>
    <w:rsid w:val="005B2977"/>
    <w:rsid w:val="005B4D85"/>
    <w:rsid w:val="005B559D"/>
    <w:rsid w:val="005B5C22"/>
    <w:rsid w:val="005B60D4"/>
    <w:rsid w:val="005B6F5A"/>
    <w:rsid w:val="005B7EA2"/>
    <w:rsid w:val="005C03BA"/>
    <w:rsid w:val="005C1536"/>
    <w:rsid w:val="005C1A1D"/>
    <w:rsid w:val="005C3425"/>
    <w:rsid w:val="005C3C1B"/>
    <w:rsid w:val="005C3F79"/>
    <w:rsid w:val="005C4727"/>
    <w:rsid w:val="005C54FC"/>
    <w:rsid w:val="005C6327"/>
    <w:rsid w:val="005C6663"/>
    <w:rsid w:val="005C79E7"/>
    <w:rsid w:val="005C7BAB"/>
    <w:rsid w:val="005C7E9E"/>
    <w:rsid w:val="005D076F"/>
    <w:rsid w:val="005D0821"/>
    <w:rsid w:val="005D10DC"/>
    <w:rsid w:val="005D265C"/>
    <w:rsid w:val="005D2BF4"/>
    <w:rsid w:val="005D558B"/>
    <w:rsid w:val="005E0893"/>
    <w:rsid w:val="005E364A"/>
    <w:rsid w:val="005E3750"/>
    <w:rsid w:val="005E670A"/>
    <w:rsid w:val="005F1605"/>
    <w:rsid w:val="005F686B"/>
    <w:rsid w:val="005F7209"/>
    <w:rsid w:val="005F7288"/>
    <w:rsid w:val="006027BE"/>
    <w:rsid w:val="00604823"/>
    <w:rsid w:val="00606D7A"/>
    <w:rsid w:val="00607C13"/>
    <w:rsid w:val="00612AF0"/>
    <w:rsid w:val="00613D4C"/>
    <w:rsid w:val="00614DCC"/>
    <w:rsid w:val="0061713D"/>
    <w:rsid w:val="006176AD"/>
    <w:rsid w:val="00617C74"/>
    <w:rsid w:val="0062087F"/>
    <w:rsid w:val="006211F1"/>
    <w:rsid w:val="00622B68"/>
    <w:rsid w:val="0062371B"/>
    <w:rsid w:val="00624DCF"/>
    <w:rsid w:val="006261D4"/>
    <w:rsid w:val="006262E7"/>
    <w:rsid w:val="00626EC9"/>
    <w:rsid w:val="00631A05"/>
    <w:rsid w:val="006320B9"/>
    <w:rsid w:val="0063501E"/>
    <w:rsid w:val="0063710E"/>
    <w:rsid w:val="00642D81"/>
    <w:rsid w:val="0064577F"/>
    <w:rsid w:val="00646187"/>
    <w:rsid w:val="00646FC4"/>
    <w:rsid w:val="006516EA"/>
    <w:rsid w:val="006554CB"/>
    <w:rsid w:val="00656978"/>
    <w:rsid w:val="006577FC"/>
    <w:rsid w:val="006606AE"/>
    <w:rsid w:val="00660AA3"/>
    <w:rsid w:val="00661C01"/>
    <w:rsid w:val="00662788"/>
    <w:rsid w:val="00662984"/>
    <w:rsid w:val="00664843"/>
    <w:rsid w:val="0066762B"/>
    <w:rsid w:val="00670EF4"/>
    <w:rsid w:val="00672132"/>
    <w:rsid w:val="00672D5C"/>
    <w:rsid w:val="00673088"/>
    <w:rsid w:val="0067344A"/>
    <w:rsid w:val="00673C0D"/>
    <w:rsid w:val="006743C2"/>
    <w:rsid w:val="006752AC"/>
    <w:rsid w:val="00676F5E"/>
    <w:rsid w:val="00677FFE"/>
    <w:rsid w:val="006815CD"/>
    <w:rsid w:val="006817FE"/>
    <w:rsid w:val="00682EF9"/>
    <w:rsid w:val="00684246"/>
    <w:rsid w:val="00685F13"/>
    <w:rsid w:val="00687A48"/>
    <w:rsid w:val="00690499"/>
    <w:rsid w:val="00690544"/>
    <w:rsid w:val="00691F50"/>
    <w:rsid w:val="00692096"/>
    <w:rsid w:val="006928BC"/>
    <w:rsid w:val="00692B89"/>
    <w:rsid w:val="006946FF"/>
    <w:rsid w:val="00695DFB"/>
    <w:rsid w:val="006964A2"/>
    <w:rsid w:val="006A1313"/>
    <w:rsid w:val="006A164A"/>
    <w:rsid w:val="006A24A5"/>
    <w:rsid w:val="006A39F1"/>
    <w:rsid w:val="006A5036"/>
    <w:rsid w:val="006A558B"/>
    <w:rsid w:val="006A6863"/>
    <w:rsid w:val="006A6952"/>
    <w:rsid w:val="006A79DA"/>
    <w:rsid w:val="006A7B1C"/>
    <w:rsid w:val="006A7DBD"/>
    <w:rsid w:val="006B1B75"/>
    <w:rsid w:val="006B2822"/>
    <w:rsid w:val="006B2AF7"/>
    <w:rsid w:val="006B32D4"/>
    <w:rsid w:val="006B525D"/>
    <w:rsid w:val="006B56DC"/>
    <w:rsid w:val="006B58C2"/>
    <w:rsid w:val="006C2A92"/>
    <w:rsid w:val="006C2CBD"/>
    <w:rsid w:val="006C3E32"/>
    <w:rsid w:val="006C41FB"/>
    <w:rsid w:val="006C513B"/>
    <w:rsid w:val="006C54AF"/>
    <w:rsid w:val="006D0A2F"/>
    <w:rsid w:val="006D18F8"/>
    <w:rsid w:val="006D1EBC"/>
    <w:rsid w:val="006D2747"/>
    <w:rsid w:val="006D3EBD"/>
    <w:rsid w:val="006D46EA"/>
    <w:rsid w:val="006D513C"/>
    <w:rsid w:val="006D6BC9"/>
    <w:rsid w:val="006D6F2C"/>
    <w:rsid w:val="006D79A7"/>
    <w:rsid w:val="006D7C24"/>
    <w:rsid w:val="006E2994"/>
    <w:rsid w:val="006E4AC2"/>
    <w:rsid w:val="006F0000"/>
    <w:rsid w:val="006F0FFA"/>
    <w:rsid w:val="006F177E"/>
    <w:rsid w:val="006F481F"/>
    <w:rsid w:val="006F49FE"/>
    <w:rsid w:val="006F4A42"/>
    <w:rsid w:val="006F6358"/>
    <w:rsid w:val="006F7FDB"/>
    <w:rsid w:val="0070039F"/>
    <w:rsid w:val="00701C94"/>
    <w:rsid w:val="00701F46"/>
    <w:rsid w:val="00704CDF"/>
    <w:rsid w:val="007064B5"/>
    <w:rsid w:val="007104AD"/>
    <w:rsid w:val="00712BF8"/>
    <w:rsid w:val="00712E1C"/>
    <w:rsid w:val="007133E9"/>
    <w:rsid w:val="00713780"/>
    <w:rsid w:val="00714B1C"/>
    <w:rsid w:val="00716068"/>
    <w:rsid w:val="00716A8E"/>
    <w:rsid w:val="00716DB5"/>
    <w:rsid w:val="007202FB"/>
    <w:rsid w:val="00720A8F"/>
    <w:rsid w:val="007236F1"/>
    <w:rsid w:val="00723C2B"/>
    <w:rsid w:val="00723F75"/>
    <w:rsid w:val="00726EB0"/>
    <w:rsid w:val="007305B2"/>
    <w:rsid w:val="00730838"/>
    <w:rsid w:val="007349D1"/>
    <w:rsid w:val="00735290"/>
    <w:rsid w:val="00735F2D"/>
    <w:rsid w:val="007368B9"/>
    <w:rsid w:val="00736D07"/>
    <w:rsid w:val="007405BE"/>
    <w:rsid w:val="007412BB"/>
    <w:rsid w:val="00743809"/>
    <w:rsid w:val="0074425A"/>
    <w:rsid w:val="00745022"/>
    <w:rsid w:val="00745FE1"/>
    <w:rsid w:val="00746411"/>
    <w:rsid w:val="00746B38"/>
    <w:rsid w:val="00746E6F"/>
    <w:rsid w:val="007502D1"/>
    <w:rsid w:val="0075083A"/>
    <w:rsid w:val="007519C3"/>
    <w:rsid w:val="00751B01"/>
    <w:rsid w:val="00751F67"/>
    <w:rsid w:val="00752F63"/>
    <w:rsid w:val="0075437B"/>
    <w:rsid w:val="00754B2D"/>
    <w:rsid w:val="00756235"/>
    <w:rsid w:val="007635DD"/>
    <w:rsid w:val="0077016D"/>
    <w:rsid w:val="00771426"/>
    <w:rsid w:val="007739E0"/>
    <w:rsid w:val="00775737"/>
    <w:rsid w:val="007766B0"/>
    <w:rsid w:val="00776A85"/>
    <w:rsid w:val="0078079D"/>
    <w:rsid w:val="00780DEA"/>
    <w:rsid w:val="00781C0D"/>
    <w:rsid w:val="00781D39"/>
    <w:rsid w:val="00783B10"/>
    <w:rsid w:val="00787F72"/>
    <w:rsid w:val="007902AF"/>
    <w:rsid w:val="00790D79"/>
    <w:rsid w:val="00792F3A"/>
    <w:rsid w:val="00793D54"/>
    <w:rsid w:val="00794D2A"/>
    <w:rsid w:val="00794E46"/>
    <w:rsid w:val="0079516F"/>
    <w:rsid w:val="007957DC"/>
    <w:rsid w:val="007A04C8"/>
    <w:rsid w:val="007A1DE1"/>
    <w:rsid w:val="007A210A"/>
    <w:rsid w:val="007A2EF9"/>
    <w:rsid w:val="007A3779"/>
    <w:rsid w:val="007A382C"/>
    <w:rsid w:val="007A4476"/>
    <w:rsid w:val="007A4D7E"/>
    <w:rsid w:val="007A61A5"/>
    <w:rsid w:val="007A7D14"/>
    <w:rsid w:val="007A7E81"/>
    <w:rsid w:val="007B2C40"/>
    <w:rsid w:val="007B2EA9"/>
    <w:rsid w:val="007B5516"/>
    <w:rsid w:val="007B58E8"/>
    <w:rsid w:val="007B77EE"/>
    <w:rsid w:val="007C0A92"/>
    <w:rsid w:val="007C2A2B"/>
    <w:rsid w:val="007C4F00"/>
    <w:rsid w:val="007C6700"/>
    <w:rsid w:val="007D1103"/>
    <w:rsid w:val="007D2E7E"/>
    <w:rsid w:val="007D3E74"/>
    <w:rsid w:val="007D4386"/>
    <w:rsid w:val="007D50D4"/>
    <w:rsid w:val="007D7769"/>
    <w:rsid w:val="007D7EDB"/>
    <w:rsid w:val="007E26C4"/>
    <w:rsid w:val="007E34A0"/>
    <w:rsid w:val="007F1346"/>
    <w:rsid w:val="007F224B"/>
    <w:rsid w:val="007F2685"/>
    <w:rsid w:val="00800377"/>
    <w:rsid w:val="00801ABA"/>
    <w:rsid w:val="008027A6"/>
    <w:rsid w:val="008032F5"/>
    <w:rsid w:val="008033DF"/>
    <w:rsid w:val="00806DC7"/>
    <w:rsid w:val="00806E8F"/>
    <w:rsid w:val="00806EEA"/>
    <w:rsid w:val="00807440"/>
    <w:rsid w:val="00807AA8"/>
    <w:rsid w:val="00812DB2"/>
    <w:rsid w:val="00813252"/>
    <w:rsid w:val="0081344C"/>
    <w:rsid w:val="00814328"/>
    <w:rsid w:val="00814E58"/>
    <w:rsid w:val="008152D9"/>
    <w:rsid w:val="008154C6"/>
    <w:rsid w:val="008177BD"/>
    <w:rsid w:val="00817F03"/>
    <w:rsid w:val="0082051E"/>
    <w:rsid w:val="00821D76"/>
    <w:rsid w:val="00822B9B"/>
    <w:rsid w:val="00823916"/>
    <w:rsid w:val="0082425D"/>
    <w:rsid w:val="00824538"/>
    <w:rsid w:val="008247EF"/>
    <w:rsid w:val="00826C60"/>
    <w:rsid w:val="0083036E"/>
    <w:rsid w:val="00832348"/>
    <w:rsid w:val="008374B0"/>
    <w:rsid w:val="008403D1"/>
    <w:rsid w:val="00841998"/>
    <w:rsid w:val="0084319E"/>
    <w:rsid w:val="00844DAD"/>
    <w:rsid w:val="0085004D"/>
    <w:rsid w:val="00852B78"/>
    <w:rsid w:val="008542F9"/>
    <w:rsid w:val="00854C5A"/>
    <w:rsid w:val="0085582A"/>
    <w:rsid w:val="00855883"/>
    <w:rsid w:val="00855C9C"/>
    <w:rsid w:val="00860625"/>
    <w:rsid w:val="008609EE"/>
    <w:rsid w:val="00860CE6"/>
    <w:rsid w:val="008618F0"/>
    <w:rsid w:val="00862538"/>
    <w:rsid w:val="008626CB"/>
    <w:rsid w:val="008634A8"/>
    <w:rsid w:val="00865557"/>
    <w:rsid w:val="0086748B"/>
    <w:rsid w:val="008674B0"/>
    <w:rsid w:val="00870544"/>
    <w:rsid w:val="00870E12"/>
    <w:rsid w:val="00873E16"/>
    <w:rsid w:val="00874158"/>
    <w:rsid w:val="0087633E"/>
    <w:rsid w:val="00880589"/>
    <w:rsid w:val="0088102B"/>
    <w:rsid w:val="00881167"/>
    <w:rsid w:val="0088140B"/>
    <w:rsid w:val="008868B1"/>
    <w:rsid w:val="00891411"/>
    <w:rsid w:val="00896DED"/>
    <w:rsid w:val="008A2642"/>
    <w:rsid w:val="008A2A91"/>
    <w:rsid w:val="008A319B"/>
    <w:rsid w:val="008A3AF3"/>
    <w:rsid w:val="008A3B3B"/>
    <w:rsid w:val="008A5192"/>
    <w:rsid w:val="008A5A23"/>
    <w:rsid w:val="008B1206"/>
    <w:rsid w:val="008B1775"/>
    <w:rsid w:val="008B3F1F"/>
    <w:rsid w:val="008B4171"/>
    <w:rsid w:val="008B4439"/>
    <w:rsid w:val="008B487D"/>
    <w:rsid w:val="008B49BD"/>
    <w:rsid w:val="008B6B17"/>
    <w:rsid w:val="008C11B2"/>
    <w:rsid w:val="008C1EE2"/>
    <w:rsid w:val="008C39D2"/>
    <w:rsid w:val="008C4B4D"/>
    <w:rsid w:val="008C6741"/>
    <w:rsid w:val="008C6F12"/>
    <w:rsid w:val="008D2F18"/>
    <w:rsid w:val="008D3BAC"/>
    <w:rsid w:val="008D4F1B"/>
    <w:rsid w:val="008D6232"/>
    <w:rsid w:val="008D6AC5"/>
    <w:rsid w:val="008E0A74"/>
    <w:rsid w:val="008E14C9"/>
    <w:rsid w:val="008E2362"/>
    <w:rsid w:val="008E6A73"/>
    <w:rsid w:val="008F265E"/>
    <w:rsid w:val="008F33A1"/>
    <w:rsid w:val="008F4392"/>
    <w:rsid w:val="008F5BF9"/>
    <w:rsid w:val="008F61A2"/>
    <w:rsid w:val="008F67B8"/>
    <w:rsid w:val="008F75BF"/>
    <w:rsid w:val="00900D31"/>
    <w:rsid w:val="0090209C"/>
    <w:rsid w:val="0090335F"/>
    <w:rsid w:val="00903A25"/>
    <w:rsid w:val="00905C39"/>
    <w:rsid w:val="00910300"/>
    <w:rsid w:val="00911CD5"/>
    <w:rsid w:val="009138ED"/>
    <w:rsid w:val="00914EA6"/>
    <w:rsid w:val="00915642"/>
    <w:rsid w:val="00915B1F"/>
    <w:rsid w:val="009168AC"/>
    <w:rsid w:val="00917346"/>
    <w:rsid w:val="00921266"/>
    <w:rsid w:val="00923A24"/>
    <w:rsid w:val="0092453A"/>
    <w:rsid w:val="00924C88"/>
    <w:rsid w:val="009273EE"/>
    <w:rsid w:val="00927711"/>
    <w:rsid w:val="00927E06"/>
    <w:rsid w:val="009311B3"/>
    <w:rsid w:val="00931918"/>
    <w:rsid w:val="00931F72"/>
    <w:rsid w:val="0093360B"/>
    <w:rsid w:val="009338D9"/>
    <w:rsid w:val="00935781"/>
    <w:rsid w:val="00936FFA"/>
    <w:rsid w:val="009410F7"/>
    <w:rsid w:val="009412A6"/>
    <w:rsid w:val="0094229B"/>
    <w:rsid w:val="009422E1"/>
    <w:rsid w:val="009437C7"/>
    <w:rsid w:val="00943C2B"/>
    <w:rsid w:val="00944B0E"/>
    <w:rsid w:val="00944C09"/>
    <w:rsid w:val="00945157"/>
    <w:rsid w:val="0094546B"/>
    <w:rsid w:val="0094571A"/>
    <w:rsid w:val="00947758"/>
    <w:rsid w:val="009477CE"/>
    <w:rsid w:val="00947CD6"/>
    <w:rsid w:val="0095036E"/>
    <w:rsid w:val="009523BB"/>
    <w:rsid w:val="00952735"/>
    <w:rsid w:val="00952DC8"/>
    <w:rsid w:val="00953A7F"/>
    <w:rsid w:val="009545CC"/>
    <w:rsid w:val="009548F9"/>
    <w:rsid w:val="00954C91"/>
    <w:rsid w:val="0095511D"/>
    <w:rsid w:val="0095684A"/>
    <w:rsid w:val="00956C56"/>
    <w:rsid w:val="00960BE8"/>
    <w:rsid w:val="00961072"/>
    <w:rsid w:val="0096262B"/>
    <w:rsid w:val="009646A7"/>
    <w:rsid w:val="00964CD9"/>
    <w:rsid w:val="00971A68"/>
    <w:rsid w:val="009721B7"/>
    <w:rsid w:val="009733A4"/>
    <w:rsid w:val="009750C6"/>
    <w:rsid w:val="00975B32"/>
    <w:rsid w:val="00977517"/>
    <w:rsid w:val="00980A92"/>
    <w:rsid w:val="00982169"/>
    <w:rsid w:val="009833FF"/>
    <w:rsid w:val="0098383D"/>
    <w:rsid w:val="009852ED"/>
    <w:rsid w:val="009868F1"/>
    <w:rsid w:val="00986B21"/>
    <w:rsid w:val="00986CA8"/>
    <w:rsid w:val="00986F23"/>
    <w:rsid w:val="00990DC4"/>
    <w:rsid w:val="00991CE5"/>
    <w:rsid w:val="00996343"/>
    <w:rsid w:val="00997BF2"/>
    <w:rsid w:val="009A0E1B"/>
    <w:rsid w:val="009A1805"/>
    <w:rsid w:val="009A1B20"/>
    <w:rsid w:val="009A237B"/>
    <w:rsid w:val="009A34F1"/>
    <w:rsid w:val="009A5053"/>
    <w:rsid w:val="009B0C9C"/>
    <w:rsid w:val="009B0E79"/>
    <w:rsid w:val="009B296B"/>
    <w:rsid w:val="009B34EF"/>
    <w:rsid w:val="009B4B57"/>
    <w:rsid w:val="009B7F93"/>
    <w:rsid w:val="009C09DA"/>
    <w:rsid w:val="009C11A1"/>
    <w:rsid w:val="009C196C"/>
    <w:rsid w:val="009C1DAE"/>
    <w:rsid w:val="009C5582"/>
    <w:rsid w:val="009C6723"/>
    <w:rsid w:val="009C6926"/>
    <w:rsid w:val="009D02EF"/>
    <w:rsid w:val="009D36D4"/>
    <w:rsid w:val="009D6E93"/>
    <w:rsid w:val="009E076D"/>
    <w:rsid w:val="009E2050"/>
    <w:rsid w:val="009E2A59"/>
    <w:rsid w:val="009E3191"/>
    <w:rsid w:val="009E41A5"/>
    <w:rsid w:val="009E61F0"/>
    <w:rsid w:val="009E6E8B"/>
    <w:rsid w:val="009F018C"/>
    <w:rsid w:val="009F2F81"/>
    <w:rsid w:val="009F3C1A"/>
    <w:rsid w:val="009F5CA7"/>
    <w:rsid w:val="009F77EE"/>
    <w:rsid w:val="009F7E3C"/>
    <w:rsid w:val="00A00DEF"/>
    <w:rsid w:val="00A013C2"/>
    <w:rsid w:val="00A03FA5"/>
    <w:rsid w:val="00A054C2"/>
    <w:rsid w:val="00A05FA2"/>
    <w:rsid w:val="00A065D3"/>
    <w:rsid w:val="00A06800"/>
    <w:rsid w:val="00A06B05"/>
    <w:rsid w:val="00A074CC"/>
    <w:rsid w:val="00A102E7"/>
    <w:rsid w:val="00A10FD4"/>
    <w:rsid w:val="00A1139F"/>
    <w:rsid w:val="00A12249"/>
    <w:rsid w:val="00A14E70"/>
    <w:rsid w:val="00A14FE3"/>
    <w:rsid w:val="00A15047"/>
    <w:rsid w:val="00A2655A"/>
    <w:rsid w:val="00A26ABD"/>
    <w:rsid w:val="00A279B8"/>
    <w:rsid w:val="00A308C0"/>
    <w:rsid w:val="00A30CC3"/>
    <w:rsid w:val="00A31037"/>
    <w:rsid w:val="00A311BC"/>
    <w:rsid w:val="00A31DA9"/>
    <w:rsid w:val="00A32BB8"/>
    <w:rsid w:val="00A32C40"/>
    <w:rsid w:val="00A339F6"/>
    <w:rsid w:val="00A34911"/>
    <w:rsid w:val="00A36DE9"/>
    <w:rsid w:val="00A402E3"/>
    <w:rsid w:val="00A43460"/>
    <w:rsid w:val="00A43F47"/>
    <w:rsid w:val="00A4409B"/>
    <w:rsid w:val="00A4666D"/>
    <w:rsid w:val="00A534F9"/>
    <w:rsid w:val="00A575DA"/>
    <w:rsid w:val="00A576D0"/>
    <w:rsid w:val="00A57811"/>
    <w:rsid w:val="00A62777"/>
    <w:rsid w:val="00A6327C"/>
    <w:rsid w:val="00A6399B"/>
    <w:rsid w:val="00A675AE"/>
    <w:rsid w:val="00A71A18"/>
    <w:rsid w:val="00A71C95"/>
    <w:rsid w:val="00A741F4"/>
    <w:rsid w:val="00A74342"/>
    <w:rsid w:val="00A74456"/>
    <w:rsid w:val="00A7450A"/>
    <w:rsid w:val="00A751C3"/>
    <w:rsid w:val="00A76998"/>
    <w:rsid w:val="00A77070"/>
    <w:rsid w:val="00A77471"/>
    <w:rsid w:val="00A775F3"/>
    <w:rsid w:val="00A77DF9"/>
    <w:rsid w:val="00A80380"/>
    <w:rsid w:val="00A82632"/>
    <w:rsid w:val="00A82FBE"/>
    <w:rsid w:val="00A842E3"/>
    <w:rsid w:val="00A85538"/>
    <w:rsid w:val="00A85FAA"/>
    <w:rsid w:val="00A86CFE"/>
    <w:rsid w:val="00A9089D"/>
    <w:rsid w:val="00A90E1A"/>
    <w:rsid w:val="00A9107D"/>
    <w:rsid w:val="00A91188"/>
    <w:rsid w:val="00A91C40"/>
    <w:rsid w:val="00A93706"/>
    <w:rsid w:val="00A9519F"/>
    <w:rsid w:val="00A95267"/>
    <w:rsid w:val="00AA14C6"/>
    <w:rsid w:val="00AA1BFE"/>
    <w:rsid w:val="00AA2117"/>
    <w:rsid w:val="00AA2554"/>
    <w:rsid w:val="00AA260C"/>
    <w:rsid w:val="00AA2846"/>
    <w:rsid w:val="00AA4F2D"/>
    <w:rsid w:val="00AA7651"/>
    <w:rsid w:val="00AB0958"/>
    <w:rsid w:val="00AB2A0A"/>
    <w:rsid w:val="00AB35CE"/>
    <w:rsid w:val="00AB3C4B"/>
    <w:rsid w:val="00AB428D"/>
    <w:rsid w:val="00AB51C4"/>
    <w:rsid w:val="00AB659B"/>
    <w:rsid w:val="00AB7462"/>
    <w:rsid w:val="00AC02E2"/>
    <w:rsid w:val="00AC1061"/>
    <w:rsid w:val="00AC2230"/>
    <w:rsid w:val="00AC25D3"/>
    <w:rsid w:val="00AC3864"/>
    <w:rsid w:val="00AC3DEB"/>
    <w:rsid w:val="00AC50D4"/>
    <w:rsid w:val="00AC56FD"/>
    <w:rsid w:val="00AC5C79"/>
    <w:rsid w:val="00AC7988"/>
    <w:rsid w:val="00AD138E"/>
    <w:rsid w:val="00AD1643"/>
    <w:rsid w:val="00AD467E"/>
    <w:rsid w:val="00AD5B72"/>
    <w:rsid w:val="00AD6299"/>
    <w:rsid w:val="00AD666A"/>
    <w:rsid w:val="00AD7388"/>
    <w:rsid w:val="00AD76F4"/>
    <w:rsid w:val="00AE08D2"/>
    <w:rsid w:val="00AE0D50"/>
    <w:rsid w:val="00AE1B3A"/>
    <w:rsid w:val="00AE254F"/>
    <w:rsid w:val="00AE3D84"/>
    <w:rsid w:val="00AE62CD"/>
    <w:rsid w:val="00AE7200"/>
    <w:rsid w:val="00AF09A1"/>
    <w:rsid w:val="00AF27E6"/>
    <w:rsid w:val="00AF2C0C"/>
    <w:rsid w:val="00AF2E36"/>
    <w:rsid w:val="00AF4A58"/>
    <w:rsid w:val="00B038FE"/>
    <w:rsid w:val="00B047E2"/>
    <w:rsid w:val="00B05064"/>
    <w:rsid w:val="00B05776"/>
    <w:rsid w:val="00B05A25"/>
    <w:rsid w:val="00B06A36"/>
    <w:rsid w:val="00B11A4A"/>
    <w:rsid w:val="00B13232"/>
    <w:rsid w:val="00B13791"/>
    <w:rsid w:val="00B13FB7"/>
    <w:rsid w:val="00B1588E"/>
    <w:rsid w:val="00B17C08"/>
    <w:rsid w:val="00B17C41"/>
    <w:rsid w:val="00B2218C"/>
    <w:rsid w:val="00B222F0"/>
    <w:rsid w:val="00B2230B"/>
    <w:rsid w:val="00B2341A"/>
    <w:rsid w:val="00B26C8E"/>
    <w:rsid w:val="00B27E4E"/>
    <w:rsid w:val="00B27EA0"/>
    <w:rsid w:val="00B323EC"/>
    <w:rsid w:val="00B32ED3"/>
    <w:rsid w:val="00B35B50"/>
    <w:rsid w:val="00B361D0"/>
    <w:rsid w:val="00B410F2"/>
    <w:rsid w:val="00B41388"/>
    <w:rsid w:val="00B421BF"/>
    <w:rsid w:val="00B47604"/>
    <w:rsid w:val="00B508A9"/>
    <w:rsid w:val="00B54328"/>
    <w:rsid w:val="00B55514"/>
    <w:rsid w:val="00B5587B"/>
    <w:rsid w:val="00B56DD1"/>
    <w:rsid w:val="00B640B5"/>
    <w:rsid w:val="00B64456"/>
    <w:rsid w:val="00B645CA"/>
    <w:rsid w:val="00B646D5"/>
    <w:rsid w:val="00B6492C"/>
    <w:rsid w:val="00B7090D"/>
    <w:rsid w:val="00B71706"/>
    <w:rsid w:val="00B7296B"/>
    <w:rsid w:val="00B74042"/>
    <w:rsid w:val="00B74545"/>
    <w:rsid w:val="00B7687E"/>
    <w:rsid w:val="00B80DB8"/>
    <w:rsid w:val="00B812EC"/>
    <w:rsid w:val="00B82081"/>
    <w:rsid w:val="00B821AB"/>
    <w:rsid w:val="00B8269E"/>
    <w:rsid w:val="00B8306C"/>
    <w:rsid w:val="00B86576"/>
    <w:rsid w:val="00B878B9"/>
    <w:rsid w:val="00B90061"/>
    <w:rsid w:val="00B90606"/>
    <w:rsid w:val="00B90814"/>
    <w:rsid w:val="00B9118C"/>
    <w:rsid w:val="00B92694"/>
    <w:rsid w:val="00B97ABF"/>
    <w:rsid w:val="00BA02F4"/>
    <w:rsid w:val="00BA1608"/>
    <w:rsid w:val="00BA31FB"/>
    <w:rsid w:val="00BA3AB7"/>
    <w:rsid w:val="00BA3F2C"/>
    <w:rsid w:val="00BA48A6"/>
    <w:rsid w:val="00BA4940"/>
    <w:rsid w:val="00BA4948"/>
    <w:rsid w:val="00BA5457"/>
    <w:rsid w:val="00BA6779"/>
    <w:rsid w:val="00BA6E42"/>
    <w:rsid w:val="00BA7243"/>
    <w:rsid w:val="00BB0CB1"/>
    <w:rsid w:val="00BB14A3"/>
    <w:rsid w:val="00BB3E29"/>
    <w:rsid w:val="00BB43A8"/>
    <w:rsid w:val="00BB488A"/>
    <w:rsid w:val="00BB4CAD"/>
    <w:rsid w:val="00BB53C0"/>
    <w:rsid w:val="00BB5B0F"/>
    <w:rsid w:val="00BB73F5"/>
    <w:rsid w:val="00BC1B24"/>
    <w:rsid w:val="00BC39D3"/>
    <w:rsid w:val="00BC5297"/>
    <w:rsid w:val="00BC7169"/>
    <w:rsid w:val="00BC7680"/>
    <w:rsid w:val="00BD07F9"/>
    <w:rsid w:val="00BD199C"/>
    <w:rsid w:val="00BD2174"/>
    <w:rsid w:val="00BD2F8C"/>
    <w:rsid w:val="00BD3059"/>
    <w:rsid w:val="00BD674F"/>
    <w:rsid w:val="00BD6B8B"/>
    <w:rsid w:val="00BE184E"/>
    <w:rsid w:val="00BE3EDB"/>
    <w:rsid w:val="00BE7216"/>
    <w:rsid w:val="00BE76B1"/>
    <w:rsid w:val="00BE7C3E"/>
    <w:rsid w:val="00BF076D"/>
    <w:rsid w:val="00BF2681"/>
    <w:rsid w:val="00BF3E22"/>
    <w:rsid w:val="00BF6C0C"/>
    <w:rsid w:val="00BF70DA"/>
    <w:rsid w:val="00BF7889"/>
    <w:rsid w:val="00BF7D5C"/>
    <w:rsid w:val="00C01093"/>
    <w:rsid w:val="00C0300F"/>
    <w:rsid w:val="00C037C7"/>
    <w:rsid w:val="00C038FC"/>
    <w:rsid w:val="00C0486D"/>
    <w:rsid w:val="00C055EC"/>
    <w:rsid w:val="00C06798"/>
    <w:rsid w:val="00C06F3A"/>
    <w:rsid w:val="00C07144"/>
    <w:rsid w:val="00C07600"/>
    <w:rsid w:val="00C10ACE"/>
    <w:rsid w:val="00C11CB6"/>
    <w:rsid w:val="00C17372"/>
    <w:rsid w:val="00C1750C"/>
    <w:rsid w:val="00C176B8"/>
    <w:rsid w:val="00C21473"/>
    <w:rsid w:val="00C22755"/>
    <w:rsid w:val="00C2284B"/>
    <w:rsid w:val="00C22ACA"/>
    <w:rsid w:val="00C25510"/>
    <w:rsid w:val="00C25872"/>
    <w:rsid w:val="00C25ECF"/>
    <w:rsid w:val="00C2698E"/>
    <w:rsid w:val="00C26E99"/>
    <w:rsid w:val="00C27AA3"/>
    <w:rsid w:val="00C3208D"/>
    <w:rsid w:val="00C33110"/>
    <w:rsid w:val="00C331DF"/>
    <w:rsid w:val="00C353B9"/>
    <w:rsid w:val="00C35E72"/>
    <w:rsid w:val="00C36461"/>
    <w:rsid w:val="00C378CA"/>
    <w:rsid w:val="00C41C55"/>
    <w:rsid w:val="00C43E38"/>
    <w:rsid w:val="00C44DB1"/>
    <w:rsid w:val="00C454C1"/>
    <w:rsid w:val="00C45A75"/>
    <w:rsid w:val="00C46DDA"/>
    <w:rsid w:val="00C46DF4"/>
    <w:rsid w:val="00C47E3D"/>
    <w:rsid w:val="00C5062B"/>
    <w:rsid w:val="00C52016"/>
    <w:rsid w:val="00C5489F"/>
    <w:rsid w:val="00C54A85"/>
    <w:rsid w:val="00C54C68"/>
    <w:rsid w:val="00C55A8A"/>
    <w:rsid w:val="00C56132"/>
    <w:rsid w:val="00C57194"/>
    <w:rsid w:val="00C6006A"/>
    <w:rsid w:val="00C60AC2"/>
    <w:rsid w:val="00C6137E"/>
    <w:rsid w:val="00C61863"/>
    <w:rsid w:val="00C62610"/>
    <w:rsid w:val="00C63803"/>
    <w:rsid w:val="00C677D4"/>
    <w:rsid w:val="00C72402"/>
    <w:rsid w:val="00C74AC2"/>
    <w:rsid w:val="00C75BF0"/>
    <w:rsid w:val="00C76B34"/>
    <w:rsid w:val="00C77516"/>
    <w:rsid w:val="00C777C0"/>
    <w:rsid w:val="00C80D03"/>
    <w:rsid w:val="00C82186"/>
    <w:rsid w:val="00C876EA"/>
    <w:rsid w:val="00C87D7E"/>
    <w:rsid w:val="00C93B94"/>
    <w:rsid w:val="00C946EA"/>
    <w:rsid w:val="00CA06F0"/>
    <w:rsid w:val="00CA184D"/>
    <w:rsid w:val="00CA22DD"/>
    <w:rsid w:val="00CA2DAE"/>
    <w:rsid w:val="00CA3DD5"/>
    <w:rsid w:val="00CA4218"/>
    <w:rsid w:val="00CA5B3A"/>
    <w:rsid w:val="00CA7EC3"/>
    <w:rsid w:val="00CB2968"/>
    <w:rsid w:val="00CB5361"/>
    <w:rsid w:val="00CB6F97"/>
    <w:rsid w:val="00CB7E27"/>
    <w:rsid w:val="00CC1DA9"/>
    <w:rsid w:val="00CC2ECA"/>
    <w:rsid w:val="00CC3DF0"/>
    <w:rsid w:val="00CD19E0"/>
    <w:rsid w:val="00CD2174"/>
    <w:rsid w:val="00CD22B8"/>
    <w:rsid w:val="00CD260D"/>
    <w:rsid w:val="00CD3908"/>
    <w:rsid w:val="00CD3949"/>
    <w:rsid w:val="00CD45C7"/>
    <w:rsid w:val="00CD51CE"/>
    <w:rsid w:val="00CD65D7"/>
    <w:rsid w:val="00CD6A87"/>
    <w:rsid w:val="00CE01B8"/>
    <w:rsid w:val="00CE069F"/>
    <w:rsid w:val="00CE0A3C"/>
    <w:rsid w:val="00CE0A7E"/>
    <w:rsid w:val="00CE2C88"/>
    <w:rsid w:val="00CE36C6"/>
    <w:rsid w:val="00CE49B9"/>
    <w:rsid w:val="00CE4AC3"/>
    <w:rsid w:val="00CE5281"/>
    <w:rsid w:val="00CE5BA8"/>
    <w:rsid w:val="00CE641F"/>
    <w:rsid w:val="00CE7032"/>
    <w:rsid w:val="00CE711C"/>
    <w:rsid w:val="00CE7C13"/>
    <w:rsid w:val="00CE7E3F"/>
    <w:rsid w:val="00CF0370"/>
    <w:rsid w:val="00CF0AA3"/>
    <w:rsid w:val="00CF13E5"/>
    <w:rsid w:val="00CF50E9"/>
    <w:rsid w:val="00CF518F"/>
    <w:rsid w:val="00CF519A"/>
    <w:rsid w:val="00CF53C9"/>
    <w:rsid w:val="00CF599D"/>
    <w:rsid w:val="00CF5ECB"/>
    <w:rsid w:val="00D01375"/>
    <w:rsid w:val="00D02040"/>
    <w:rsid w:val="00D0334E"/>
    <w:rsid w:val="00D0366B"/>
    <w:rsid w:val="00D05BEC"/>
    <w:rsid w:val="00D1079D"/>
    <w:rsid w:val="00D11B2C"/>
    <w:rsid w:val="00D128B4"/>
    <w:rsid w:val="00D146FF"/>
    <w:rsid w:val="00D14C73"/>
    <w:rsid w:val="00D15F9E"/>
    <w:rsid w:val="00D20EEF"/>
    <w:rsid w:val="00D248C4"/>
    <w:rsid w:val="00D24ACB"/>
    <w:rsid w:val="00D26874"/>
    <w:rsid w:val="00D26C31"/>
    <w:rsid w:val="00D306C6"/>
    <w:rsid w:val="00D33CB3"/>
    <w:rsid w:val="00D3608D"/>
    <w:rsid w:val="00D41CC3"/>
    <w:rsid w:val="00D44441"/>
    <w:rsid w:val="00D44712"/>
    <w:rsid w:val="00D45950"/>
    <w:rsid w:val="00D474DD"/>
    <w:rsid w:val="00D51509"/>
    <w:rsid w:val="00D52A97"/>
    <w:rsid w:val="00D52FF0"/>
    <w:rsid w:val="00D536FF"/>
    <w:rsid w:val="00D53E0B"/>
    <w:rsid w:val="00D54F86"/>
    <w:rsid w:val="00D554DB"/>
    <w:rsid w:val="00D55972"/>
    <w:rsid w:val="00D5611B"/>
    <w:rsid w:val="00D563B1"/>
    <w:rsid w:val="00D60790"/>
    <w:rsid w:val="00D60F87"/>
    <w:rsid w:val="00D64EC1"/>
    <w:rsid w:val="00D65B1B"/>
    <w:rsid w:val="00D674C4"/>
    <w:rsid w:val="00D70CF7"/>
    <w:rsid w:val="00D70E80"/>
    <w:rsid w:val="00D7167F"/>
    <w:rsid w:val="00D73064"/>
    <w:rsid w:val="00D73C30"/>
    <w:rsid w:val="00D74DC7"/>
    <w:rsid w:val="00D74E4F"/>
    <w:rsid w:val="00D75813"/>
    <w:rsid w:val="00D75EA6"/>
    <w:rsid w:val="00D76A47"/>
    <w:rsid w:val="00D77A62"/>
    <w:rsid w:val="00D80106"/>
    <w:rsid w:val="00D818F9"/>
    <w:rsid w:val="00D826BB"/>
    <w:rsid w:val="00D82709"/>
    <w:rsid w:val="00D84894"/>
    <w:rsid w:val="00D85379"/>
    <w:rsid w:val="00D85836"/>
    <w:rsid w:val="00D86B45"/>
    <w:rsid w:val="00D8722F"/>
    <w:rsid w:val="00D90328"/>
    <w:rsid w:val="00D90578"/>
    <w:rsid w:val="00D90722"/>
    <w:rsid w:val="00D9090E"/>
    <w:rsid w:val="00D93C54"/>
    <w:rsid w:val="00D951F8"/>
    <w:rsid w:val="00D958F4"/>
    <w:rsid w:val="00D95C20"/>
    <w:rsid w:val="00D96142"/>
    <w:rsid w:val="00D96B09"/>
    <w:rsid w:val="00D96C97"/>
    <w:rsid w:val="00D96ED1"/>
    <w:rsid w:val="00D979A4"/>
    <w:rsid w:val="00DA186E"/>
    <w:rsid w:val="00DA2BAF"/>
    <w:rsid w:val="00DA3192"/>
    <w:rsid w:val="00DA3578"/>
    <w:rsid w:val="00DA3605"/>
    <w:rsid w:val="00DA5C2E"/>
    <w:rsid w:val="00DA671E"/>
    <w:rsid w:val="00DB094E"/>
    <w:rsid w:val="00DB0D43"/>
    <w:rsid w:val="00DB1986"/>
    <w:rsid w:val="00DB1B2D"/>
    <w:rsid w:val="00DB3831"/>
    <w:rsid w:val="00DB5EAC"/>
    <w:rsid w:val="00DB686C"/>
    <w:rsid w:val="00DB696F"/>
    <w:rsid w:val="00DB6C7E"/>
    <w:rsid w:val="00DC2828"/>
    <w:rsid w:val="00DC28A5"/>
    <w:rsid w:val="00DC2EA5"/>
    <w:rsid w:val="00DC3652"/>
    <w:rsid w:val="00DC3AB1"/>
    <w:rsid w:val="00DC4085"/>
    <w:rsid w:val="00DC5849"/>
    <w:rsid w:val="00DC730E"/>
    <w:rsid w:val="00DD0246"/>
    <w:rsid w:val="00DD0614"/>
    <w:rsid w:val="00DD071D"/>
    <w:rsid w:val="00DD0A4D"/>
    <w:rsid w:val="00DD1B54"/>
    <w:rsid w:val="00DD1BAF"/>
    <w:rsid w:val="00DD1DA6"/>
    <w:rsid w:val="00DD21AB"/>
    <w:rsid w:val="00DD3E27"/>
    <w:rsid w:val="00DD60C8"/>
    <w:rsid w:val="00DD76A0"/>
    <w:rsid w:val="00DE005E"/>
    <w:rsid w:val="00DE2EAE"/>
    <w:rsid w:val="00DE30E3"/>
    <w:rsid w:val="00DE369E"/>
    <w:rsid w:val="00DE37ED"/>
    <w:rsid w:val="00DE55D1"/>
    <w:rsid w:val="00DF1EFB"/>
    <w:rsid w:val="00DF2AA7"/>
    <w:rsid w:val="00DF5EBC"/>
    <w:rsid w:val="00DF7B98"/>
    <w:rsid w:val="00E01933"/>
    <w:rsid w:val="00E01CA0"/>
    <w:rsid w:val="00E025AC"/>
    <w:rsid w:val="00E02FA3"/>
    <w:rsid w:val="00E03FBB"/>
    <w:rsid w:val="00E049FB"/>
    <w:rsid w:val="00E07C58"/>
    <w:rsid w:val="00E10BD3"/>
    <w:rsid w:val="00E11071"/>
    <w:rsid w:val="00E122D7"/>
    <w:rsid w:val="00E1555A"/>
    <w:rsid w:val="00E15EFC"/>
    <w:rsid w:val="00E160C5"/>
    <w:rsid w:val="00E17804"/>
    <w:rsid w:val="00E2481B"/>
    <w:rsid w:val="00E24B75"/>
    <w:rsid w:val="00E31261"/>
    <w:rsid w:val="00E316EF"/>
    <w:rsid w:val="00E31D6A"/>
    <w:rsid w:val="00E32155"/>
    <w:rsid w:val="00E3227C"/>
    <w:rsid w:val="00E3379E"/>
    <w:rsid w:val="00E34EA4"/>
    <w:rsid w:val="00E36306"/>
    <w:rsid w:val="00E37241"/>
    <w:rsid w:val="00E42C58"/>
    <w:rsid w:val="00E4566D"/>
    <w:rsid w:val="00E46E7B"/>
    <w:rsid w:val="00E5027E"/>
    <w:rsid w:val="00E50D26"/>
    <w:rsid w:val="00E512C8"/>
    <w:rsid w:val="00E52372"/>
    <w:rsid w:val="00E53861"/>
    <w:rsid w:val="00E549D7"/>
    <w:rsid w:val="00E5555E"/>
    <w:rsid w:val="00E562C7"/>
    <w:rsid w:val="00E5727D"/>
    <w:rsid w:val="00E573FF"/>
    <w:rsid w:val="00E60AFB"/>
    <w:rsid w:val="00E60E47"/>
    <w:rsid w:val="00E6115F"/>
    <w:rsid w:val="00E61F0B"/>
    <w:rsid w:val="00E61F69"/>
    <w:rsid w:val="00E620D6"/>
    <w:rsid w:val="00E631E3"/>
    <w:rsid w:val="00E63B00"/>
    <w:rsid w:val="00E64A95"/>
    <w:rsid w:val="00E654EC"/>
    <w:rsid w:val="00E701DC"/>
    <w:rsid w:val="00E70904"/>
    <w:rsid w:val="00E70F26"/>
    <w:rsid w:val="00E7226E"/>
    <w:rsid w:val="00E739B5"/>
    <w:rsid w:val="00E75A50"/>
    <w:rsid w:val="00E75BE4"/>
    <w:rsid w:val="00E763BA"/>
    <w:rsid w:val="00E777FF"/>
    <w:rsid w:val="00E809FF"/>
    <w:rsid w:val="00E8385A"/>
    <w:rsid w:val="00E83F6A"/>
    <w:rsid w:val="00E83F95"/>
    <w:rsid w:val="00E84FF4"/>
    <w:rsid w:val="00E856D5"/>
    <w:rsid w:val="00E85A46"/>
    <w:rsid w:val="00E86246"/>
    <w:rsid w:val="00E86ACE"/>
    <w:rsid w:val="00E86AEA"/>
    <w:rsid w:val="00E9165A"/>
    <w:rsid w:val="00E923A0"/>
    <w:rsid w:val="00E9429B"/>
    <w:rsid w:val="00E95603"/>
    <w:rsid w:val="00E97234"/>
    <w:rsid w:val="00EA3368"/>
    <w:rsid w:val="00EA4EBF"/>
    <w:rsid w:val="00EB0917"/>
    <w:rsid w:val="00EB20B3"/>
    <w:rsid w:val="00EB20D2"/>
    <w:rsid w:val="00EB2FD4"/>
    <w:rsid w:val="00EB4FCB"/>
    <w:rsid w:val="00EB63DE"/>
    <w:rsid w:val="00EB7001"/>
    <w:rsid w:val="00EB74F1"/>
    <w:rsid w:val="00EC003A"/>
    <w:rsid w:val="00EC25B6"/>
    <w:rsid w:val="00EC35F5"/>
    <w:rsid w:val="00EC3E42"/>
    <w:rsid w:val="00EC45A7"/>
    <w:rsid w:val="00EC501E"/>
    <w:rsid w:val="00EC5C2C"/>
    <w:rsid w:val="00EC61B8"/>
    <w:rsid w:val="00EC73D1"/>
    <w:rsid w:val="00ED0698"/>
    <w:rsid w:val="00ED1254"/>
    <w:rsid w:val="00ED1382"/>
    <w:rsid w:val="00ED27E7"/>
    <w:rsid w:val="00ED4360"/>
    <w:rsid w:val="00ED4397"/>
    <w:rsid w:val="00ED6368"/>
    <w:rsid w:val="00EE06C2"/>
    <w:rsid w:val="00EE0E01"/>
    <w:rsid w:val="00EE1BD4"/>
    <w:rsid w:val="00EE1F2E"/>
    <w:rsid w:val="00EE2A19"/>
    <w:rsid w:val="00EE3A40"/>
    <w:rsid w:val="00EE4120"/>
    <w:rsid w:val="00EE42E3"/>
    <w:rsid w:val="00EE5AD5"/>
    <w:rsid w:val="00EE5D82"/>
    <w:rsid w:val="00EE7A41"/>
    <w:rsid w:val="00EF1B35"/>
    <w:rsid w:val="00EF2FCC"/>
    <w:rsid w:val="00EF5CCA"/>
    <w:rsid w:val="00F00E62"/>
    <w:rsid w:val="00F01D37"/>
    <w:rsid w:val="00F045E1"/>
    <w:rsid w:val="00F07C2F"/>
    <w:rsid w:val="00F07EEC"/>
    <w:rsid w:val="00F106F7"/>
    <w:rsid w:val="00F10C5C"/>
    <w:rsid w:val="00F10CE9"/>
    <w:rsid w:val="00F11488"/>
    <w:rsid w:val="00F11A13"/>
    <w:rsid w:val="00F12310"/>
    <w:rsid w:val="00F146B0"/>
    <w:rsid w:val="00F14F42"/>
    <w:rsid w:val="00F16779"/>
    <w:rsid w:val="00F203CB"/>
    <w:rsid w:val="00F20456"/>
    <w:rsid w:val="00F20C4C"/>
    <w:rsid w:val="00F213A4"/>
    <w:rsid w:val="00F21879"/>
    <w:rsid w:val="00F21941"/>
    <w:rsid w:val="00F22403"/>
    <w:rsid w:val="00F23842"/>
    <w:rsid w:val="00F25413"/>
    <w:rsid w:val="00F25446"/>
    <w:rsid w:val="00F2546A"/>
    <w:rsid w:val="00F25C94"/>
    <w:rsid w:val="00F262F5"/>
    <w:rsid w:val="00F26DF0"/>
    <w:rsid w:val="00F27847"/>
    <w:rsid w:val="00F300F8"/>
    <w:rsid w:val="00F31B9E"/>
    <w:rsid w:val="00F333BB"/>
    <w:rsid w:val="00F345C2"/>
    <w:rsid w:val="00F355FB"/>
    <w:rsid w:val="00F36736"/>
    <w:rsid w:val="00F42B42"/>
    <w:rsid w:val="00F446B3"/>
    <w:rsid w:val="00F469AF"/>
    <w:rsid w:val="00F4731D"/>
    <w:rsid w:val="00F47CC2"/>
    <w:rsid w:val="00F507B5"/>
    <w:rsid w:val="00F517CA"/>
    <w:rsid w:val="00F52038"/>
    <w:rsid w:val="00F52084"/>
    <w:rsid w:val="00F54BE2"/>
    <w:rsid w:val="00F54C05"/>
    <w:rsid w:val="00F567A9"/>
    <w:rsid w:val="00F608BF"/>
    <w:rsid w:val="00F6099C"/>
    <w:rsid w:val="00F612CA"/>
    <w:rsid w:val="00F62466"/>
    <w:rsid w:val="00F626C5"/>
    <w:rsid w:val="00F63F57"/>
    <w:rsid w:val="00F64574"/>
    <w:rsid w:val="00F64D27"/>
    <w:rsid w:val="00F65DFC"/>
    <w:rsid w:val="00F6741A"/>
    <w:rsid w:val="00F715D2"/>
    <w:rsid w:val="00F71879"/>
    <w:rsid w:val="00F7413F"/>
    <w:rsid w:val="00F75C68"/>
    <w:rsid w:val="00F7696D"/>
    <w:rsid w:val="00F769B8"/>
    <w:rsid w:val="00F76B6B"/>
    <w:rsid w:val="00F7763C"/>
    <w:rsid w:val="00F80A06"/>
    <w:rsid w:val="00F80F70"/>
    <w:rsid w:val="00F816A1"/>
    <w:rsid w:val="00F82369"/>
    <w:rsid w:val="00F82D05"/>
    <w:rsid w:val="00F83658"/>
    <w:rsid w:val="00F8666C"/>
    <w:rsid w:val="00F86BEE"/>
    <w:rsid w:val="00F87091"/>
    <w:rsid w:val="00F871A3"/>
    <w:rsid w:val="00F871DC"/>
    <w:rsid w:val="00F903DC"/>
    <w:rsid w:val="00F9252F"/>
    <w:rsid w:val="00F93498"/>
    <w:rsid w:val="00F93628"/>
    <w:rsid w:val="00F94E5B"/>
    <w:rsid w:val="00F96CCA"/>
    <w:rsid w:val="00F97CDF"/>
    <w:rsid w:val="00FA2587"/>
    <w:rsid w:val="00FA48B7"/>
    <w:rsid w:val="00FA4D20"/>
    <w:rsid w:val="00FA55D2"/>
    <w:rsid w:val="00FA5688"/>
    <w:rsid w:val="00FA65AE"/>
    <w:rsid w:val="00FA715C"/>
    <w:rsid w:val="00FB290F"/>
    <w:rsid w:val="00FB2A8F"/>
    <w:rsid w:val="00FB46A1"/>
    <w:rsid w:val="00FB631E"/>
    <w:rsid w:val="00FB745B"/>
    <w:rsid w:val="00FC0368"/>
    <w:rsid w:val="00FC2CB2"/>
    <w:rsid w:val="00FC4F3B"/>
    <w:rsid w:val="00FC4FF2"/>
    <w:rsid w:val="00FC5A9A"/>
    <w:rsid w:val="00FC5C80"/>
    <w:rsid w:val="00FC66A4"/>
    <w:rsid w:val="00FD0A97"/>
    <w:rsid w:val="00FD0BB0"/>
    <w:rsid w:val="00FD1892"/>
    <w:rsid w:val="00FD2F40"/>
    <w:rsid w:val="00FD5103"/>
    <w:rsid w:val="00FD7584"/>
    <w:rsid w:val="00FE005D"/>
    <w:rsid w:val="00FE2243"/>
    <w:rsid w:val="00FE2534"/>
    <w:rsid w:val="00FE327D"/>
    <w:rsid w:val="00FE337D"/>
    <w:rsid w:val="00FE4411"/>
    <w:rsid w:val="00FE4AA2"/>
    <w:rsid w:val="00FE6A75"/>
    <w:rsid w:val="00FE6F11"/>
    <w:rsid w:val="00FF0EF4"/>
    <w:rsid w:val="00FF29AE"/>
    <w:rsid w:val="00FF308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CCBC1B"/>
  <w15:docId w15:val="{F69336BE-5F2F-48B5-9E8C-48CDE2CD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ED8"/>
    <w:pPr>
      <w:spacing w:after="200" w:line="276" w:lineRule="auto"/>
    </w:pPr>
    <w:rPr>
      <w:rFonts w:ascii="Calibri" w:eastAsia="Calibri" w:hAnsi="Calibri"/>
      <w:sz w:val="22"/>
      <w:szCs w:val="22"/>
      <w:lang w:eastAsia="en-US"/>
    </w:rPr>
  </w:style>
  <w:style w:type="paragraph" w:styleId="Ttulo1">
    <w:name w:val="heading 1"/>
    <w:basedOn w:val="Normal"/>
    <w:next w:val="Normal"/>
    <w:link w:val="Ttulo1Car"/>
    <w:uiPriority w:val="9"/>
    <w:qFormat/>
    <w:rsid w:val="00AE7200"/>
    <w:pPr>
      <w:keepNext/>
      <w:pageBreakBefore/>
      <w:numPr>
        <w:numId w:val="1"/>
      </w:numPr>
      <w:shd w:val="clear" w:color="auto" w:fill="D9D9D9"/>
      <w:spacing w:before="240" w:after="60"/>
      <w:jc w:val="both"/>
      <w:outlineLvl w:val="0"/>
    </w:pPr>
    <w:rPr>
      <w:rFonts w:ascii="Arial" w:eastAsia="Times New Roman" w:hAnsi="Arial" w:cs="Arial"/>
      <w:b/>
      <w:bCs/>
      <w:kern w:val="32"/>
      <w:sz w:val="32"/>
      <w:szCs w:val="32"/>
      <w:lang w:eastAsia="es-ES"/>
    </w:rPr>
  </w:style>
  <w:style w:type="paragraph" w:styleId="Ttulo2">
    <w:name w:val="heading 2"/>
    <w:basedOn w:val="Normal"/>
    <w:next w:val="Normal"/>
    <w:qFormat/>
    <w:rsid w:val="00AE7200"/>
    <w:pPr>
      <w:keepNext/>
      <w:keepLines/>
      <w:numPr>
        <w:ilvl w:val="1"/>
        <w:numId w:val="1"/>
      </w:numPr>
      <w:spacing w:before="200" w:after="0"/>
      <w:jc w:val="both"/>
      <w:outlineLvl w:val="1"/>
    </w:pPr>
    <w:rPr>
      <w:rFonts w:ascii="Arial" w:eastAsia="Times New Roman" w:hAnsi="Arial"/>
      <w:b/>
      <w:bCs/>
      <w:sz w:val="26"/>
      <w:szCs w:val="26"/>
      <w:lang w:eastAsia="es-ES"/>
    </w:rPr>
  </w:style>
  <w:style w:type="paragraph" w:styleId="Ttulo3">
    <w:name w:val="heading 3"/>
    <w:basedOn w:val="Ttulo2"/>
    <w:next w:val="Normal"/>
    <w:link w:val="Ttulo3Car"/>
    <w:qFormat/>
    <w:rsid w:val="00AE7200"/>
    <w:pPr>
      <w:numPr>
        <w:ilvl w:val="2"/>
      </w:numPr>
      <w:spacing w:after="60"/>
      <w:outlineLvl w:val="2"/>
    </w:pPr>
    <w:rPr>
      <w:b w:val="0"/>
      <w:bCs w:val="0"/>
      <w:sz w:val="28"/>
    </w:rPr>
  </w:style>
  <w:style w:type="paragraph" w:styleId="Ttulo4">
    <w:name w:val="heading 4"/>
    <w:basedOn w:val="Normal"/>
    <w:next w:val="Normal"/>
    <w:qFormat/>
    <w:rsid w:val="00AE7200"/>
    <w:pPr>
      <w:keepNext/>
      <w:keepLines/>
      <w:numPr>
        <w:ilvl w:val="3"/>
        <w:numId w:val="1"/>
      </w:numPr>
      <w:spacing w:before="200" w:after="0"/>
      <w:jc w:val="both"/>
      <w:outlineLvl w:val="3"/>
    </w:pPr>
    <w:rPr>
      <w:rFonts w:ascii="Cambria" w:eastAsia="Times New Roman" w:hAnsi="Cambria"/>
      <w:b/>
      <w:bCs/>
      <w:i/>
      <w:iCs/>
      <w:color w:val="4F81BD"/>
      <w:sz w:val="24"/>
      <w:szCs w:val="24"/>
      <w:lang w:eastAsia="es-ES"/>
    </w:rPr>
  </w:style>
  <w:style w:type="paragraph" w:styleId="Ttulo5">
    <w:name w:val="heading 5"/>
    <w:basedOn w:val="Normal"/>
    <w:next w:val="Normal"/>
    <w:qFormat/>
    <w:rsid w:val="00AE7200"/>
    <w:pPr>
      <w:keepNext/>
      <w:keepLines/>
      <w:numPr>
        <w:ilvl w:val="4"/>
        <w:numId w:val="1"/>
      </w:numPr>
      <w:spacing w:before="200" w:after="0"/>
      <w:jc w:val="both"/>
      <w:outlineLvl w:val="4"/>
    </w:pPr>
    <w:rPr>
      <w:rFonts w:ascii="Cambria" w:eastAsia="Times New Roman" w:hAnsi="Cambria"/>
      <w:color w:val="243F60"/>
      <w:sz w:val="24"/>
      <w:szCs w:val="24"/>
      <w:lang w:eastAsia="es-ES"/>
    </w:rPr>
  </w:style>
  <w:style w:type="paragraph" w:styleId="Ttulo6">
    <w:name w:val="heading 6"/>
    <w:basedOn w:val="Normal"/>
    <w:next w:val="Normal"/>
    <w:qFormat/>
    <w:rsid w:val="00AE7200"/>
    <w:pPr>
      <w:keepNext/>
      <w:keepLines/>
      <w:numPr>
        <w:ilvl w:val="5"/>
        <w:numId w:val="1"/>
      </w:numPr>
      <w:spacing w:before="200" w:after="0"/>
      <w:jc w:val="both"/>
      <w:outlineLvl w:val="5"/>
    </w:pPr>
    <w:rPr>
      <w:rFonts w:ascii="Cambria" w:eastAsia="Times New Roman" w:hAnsi="Cambria"/>
      <w:i/>
      <w:iCs/>
      <w:color w:val="243F60"/>
      <w:sz w:val="24"/>
      <w:szCs w:val="24"/>
      <w:lang w:eastAsia="es-ES"/>
    </w:rPr>
  </w:style>
  <w:style w:type="paragraph" w:styleId="Ttulo7">
    <w:name w:val="heading 7"/>
    <w:basedOn w:val="Normal"/>
    <w:next w:val="Normal"/>
    <w:qFormat/>
    <w:rsid w:val="00AE7200"/>
    <w:pPr>
      <w:keepNext/>
      <w:keepLines/>
      <w:numPr>
        <w:ilvl w:val="6"/>
        <w:numId w:val="1"/>
      </w:numPr>
      <w:spacing w:before="200" w:after="0"/>
      <w:jc w:val="both"/>
      <w:outlineLvl w:val="6"/>
    </w:pPr>
    <w:rPr>
      <w:rFonts w:ascii="Cambria" w:eastAsia="Times New Roman" w:hAnsi="Cambria"/>
      <w:i/>
      <w:iCs/>
      <w:color w:val="404040"/>
      <w:sz w:val="24"/>
      <w:szCs w:val="24"/>
      <w:lang w:eastAsia="es-ES"/>
    </w:rPr>
  </w:style>
  <w:style w:type="paragraph" w:styleId="Ttulo8">
    <w:name w:val="heading 8"/>
    <w:basedOn w:val="Normal"/>
    <w:next w:val="Normal"/>
    <w:qFormat/>
    <w:rsid w:val="00AE7200"/>
    <w:pPr>
      <w:keepNext/>
      <w:keepLines/>
      <w:numPr>
        <w:ilvl w:val="7"/>
        <w:numId w:val="1"/>
      </w:numPr>
      <w:spacing w:before="200" w:after="0"/>
      <w:jc w:val="both"/>
      <w:outlineLvl w:val="7"/>
    </w:pPr>
    <w:rPr>
      <w:rFonts w:ascii="Cambria" w:eastAsia="Times New Roman" w:hAnsi="Cambria"/>
      <w:color w:val="404040"/>
      <w:sz w:val="20"/>
      <w:szCs w:val="20"/>
      <w:lang w:eastAsia="es-ES"/>
    </w:rPr>
  </w:style>
  <w:style w:type="paragraph" w:styleId="Ttulo9">
    <w:name w:val="heading 9"/>
    <w:basedOn w:val="Normal"/>
    <w:next w:val="Normal"/>
    <w:qFormat/>
    <w:rsid w:val="00AE7200"/>
    <w:pPr>
      <w:keepNext/>
      <w:keepLines/>
      <w:numPr>
        <w:ilvl w:val="8"/>
        <w:numId w:val="1"/>
      </w:numPr>
      <w:spacing w:before="200" w:after="0"/>
      <w:jc w:val="both"/>
      <w:outlineLvl w:val="8"/>
    </w:pPr>
    <w:rPr>
      <w:rFonts w:ascii="Cambria" w:eastAsia="Times New Roman" w:hAnsi="Cambria"/>
      <w:i/>
      <w:iCs/>
      <w:color w:val="4040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AE7200"/>
    <w:rPr>
      <w:rFonts w:ascii="Arial" w:hAnsi="Arial"/>
      <w:sz w:val="28"/>
      <w:szCs w:val="26"/>
      <w:lang w:eastAsia="es-ES"/>
    </w:rPr>
  </w:style>
  <w:style w:type="paragraph" w:customStyle="1" w:styleId="a">
    <w:basedOn w:val="Normal"/>
    <w:semiHidden/>
    <w:rsid w:val="005B7EA2"/>
    <w:pPr>
      <w:spacing w:after="160" w:line="240" w:lineRule="exact"/>
    </w:pPr>
    <w:rPr>
      <w:rFonts w:ascii="Verdana" w:eastAsia="Times New Roman" w:hAnsi="Verdana" w:cs="Verdana"/>
      <w:sz w:val="20"/>
      <w:szCs w:val="20"/>
      <w:lang w:val="en-AU"/>
    </w:rPr>
  </w:style>
  <w:style w:type="paragraph" w:styleId="Prrafodelista">
    <w:name w:val="List Paragraph"/>
    <w:aliases w:val="Bullet 1,Use Case List Paragraph,Lista vistosa - Énfasis 11,Párrafo de lista Car Car Car,Footnote,List Paragraph2,Informe"/>
    <w:basedOn w:val="Normal"/>
    <w:uiPriority w:val="34"/>
    <w:qFormat/>
    <w:rsid w:val="005B7EA2"/>
    <w:pPr>
      <w:ind w:left="720"/>
      <w:contextualSpacing/>
    </w:pPr>
  </w:style>
  <w:style w:type="character" w:styleId="Refdecomentario">
    <w:name w:val="annotation reference"/>
    <w:uiPriority w:val="99"/>
    <w:semiHidden/>
    <w:rsid w:val="005B7EA2"/>
    <w:rPr>
      <w:sz w:val="16"/>
      <w:szCs w:val="16"/>
    </w:rPr>
  </w:style>
  <w:style w:type="paragraph" w:styleId="Textocomentario">
    <w:name w:val="annotation text"/>
    <w:basedOn w:val="Normal"/>
    <w:link w:val="TextocomentarioCar"/>
    <w:uiPriority w:val="99"/>
    <w:rsid w:val="005B7EA2"/>
    <w:rPr>
      <w:sz w:val="20"/>
      <w:szCs w:val="20"/>
    </w:rPr>
  </w:style>
  <w:style w:type="paragraph" w:styleId="Textonotapie">
    <w:name w:val="footnote text"/>
    <w:basedOn w:val="Normal"/>
    <w:link w:val="TextonotapieCar"/>
    <w:uiPriority w:val="99"/>
    <w:rsid w:val="005B7EA2"/>
    <w:rPr>
      <w:sz w:val="20"/>
      <w:szCs w:val="20"/>
    </w:rPr>
  </w:style>
  <w:style w:type="character" w:customStyle="1" w:styleId="TextonotapieCar">
    <w:name w:val="Texto nota pie Car"/>
    <w:link w:val="Textonotapie"/>
    <w:uiPriority w:val="99"/>
    <w:rsid w:val="0079516F"/>
    <w:rPr>
      <w:rFonts w:ascii="Calibri" w:eastAsia="Calibri" w:hAnsi="Calibri"/>
      <w:lang w:val="en-US" w:eastAsia="en-US" w:bidi="ar-SA"/>
    </w:rPr>
  </w:style>
  <w:style w:type="character" w:styleId="Refdenotaalpie">
    <w:name w:val="footnote reference"/>
    <w:uiPriority w:val="99"/>
    <w:rsid w:val="005B7EA2"/>
    <w:rPr>
      <w:vertAlign w:val="superscript"/>
    </w:rPr>
  </w:style>
  <w:style w:type="character" w:customStyle="1" w:styleId="estilocorreo17">
    <w:name w:val="estilocorreo17"/>
    <w:semiHidden/>
    <w:rsid w:val="005B7EA2"/>
    <w:rPr>
      <w:rFonts w:ascii="Times New Roman" w:hAnsi="Times New Roman" w:cs="Times New Roman" w:hint="default"/>
      <w:b w:val="0"/>
      <w:bCs w:val="0"/>
      <w:i/>
      <w:iCs/>
      <w:strike w:val="0"/>
      <w:dstrike w:val="0"/>
      <w:color w:val="auto"/>
      <w:sz w:val="24"/>
      <w:szCs w:val="24"/>
      <w:u w:val="none"/>
      <w:effect w:val="none"/>
    </w:rPr>
  </w:style>
  <w:style w:type="paragraph" w:styleId="Textodeglobo">
    <w:name w:val="Balloon Text"/>
    <w:basedOn w:val="Normal"/>
    <w:link w:val="TextodegloboCar"/>
    <w:uiPriority w:val="99"/>
    <w:semiHidden/>
    <w:rsid w:val="005B7EA2"/>
    <w:rPr>
      <w:rFonts w:ascii="Tahoma" w:hAnsi="Tahoma"/>
      <w:sz w:val="16"/>
      <w:szCs w:val="16"/>
    </w:rPr>
  </w:style>
  <w:style w:type="character" w:customStyle="1" w:styleId="TextodegloboCar">
    <w:name w:val="Texto de globo Car"/>
    <w:link w:val="Textodeglobo"/>
    <w:uiPriority w:val="99"/>
    <w:rsid w:val="0053798A"/>
    <w:rPr>
      <w:rFonts w:ascii="Tahoma" w:eastAsia="Calibri" w:hAnsi="Tahoma" w:cs="Tahoma"/>
      <w:sz w:val="16"/>
      <w:szCs w:val="16"/>
      <w:lang w:val="en-US" w:eastAsia="en-US"/>
    </w:rPr>
  </w:style>
  <w:style w:type="paragraph" w:styleId="Asuntodelcomentario">
    <w:name w:val="annotation subject"/>
    <w:basedOn w:val="Textocomentario"/>
    <w:next w:val="Textocomentario"/>
    <w:semiHidden/>
    <w:rsid w:val="00FF308A"/>
    <w:rPr>
      <w:b/>
      <w:bCs/>
    </w:rPr>
  </w:style>
  <w:style w:type="paragraph" w:customStyle="1" w:styleId="CharChar">
    <w:name w:val="Char Char"/>
    <w:basedOn w:val="Normal"/>
    <w:semiHidden/>
    <w:rsid w:val="00BD674F"/>
    <w:pPr>
      <w:spacing w:after="160" w:line="240" w:lineRule="exact"/>
    </w:pPr>
    <w:rPr>
      <w:rFonts w:ascii="Verdana" w:eastAsia="Times New Roman" w:hAnsi="Verdana" w:cs="Verdana"/>
      <w:sz w:val="20"/>
      <w:szCs w:val="20"/>
      <w:lang w:val="en-AU"/>
    </w:rPr>
  </w:style>
  <w:style w:type="paragraph" w:customStyle="1" w:styleId="Car">
    <w:name w:val="Car"/>
    <w:basedOn w:val="Normal"/>
    <w:semiHidden/>
    <w:rsid w:val="002449EF"/>
    <w:pPr>
      <w:spacing w:after="160" w:line="240" w:lineRule="exact"/>
    </w:pPr>
    <w:rPr>
      <w:rFonts w:ascii="Verdana" w:eastAsia="Times New Roman" w:hAnsi="Verdana"/>
      <w:sz w:val="20"/>
      <w:szCs w:val="21"/>
      <w:lang w:val="en-AU"/>
    </w:rPr>
  </w:style>
  <w:style w:type="paragraph" w:customStyle="1" w:styleId="CharChar0">
    <w:name w:val="Char Char"/>
    <w:basedOn w:val="Normal"/>
    <w:semiHidden/>
    <w:rsid w:val="0086748B"/>
    <w:pPr>
      <w:spacing w:after="160" w:line="240" w:lineRule="exact"/>
    </w:pPr>
    <w:rPr>
      <w:rFonts w:ascii="Verdana" w:eastAsia="Times New Roman" w:hAnsi="Verdana"/>
      <w:sz w:val="20"/>
      <w:szCs w:val="21"/>
      <w:lang w:val="en-AU"/>
    </w:rPr>
  </w:style>
  <w:style w:type="character" w:customStyle="1" w:styleId="a0">
    <w:name w:val="."/>
    <w:semiHidden/>
    <w:rsid w:val="00C07144"/>
    <w:rPr>
      <w:rFonts w:ascii="Times New Roman" w:hAnsi="Times New Roman" w:cs="Times New Roman"/>
      <w:b w:val="0"/>
      <w:bCs w:val="0"/>
      <w:i w:val="0"/>
      <w:iCs w:val="0"/>
      <w:strike w:val="0"/>
      <w:color w:val="auto"/>
      <w:sz w:val="36"/>
      <w:szCs w:val="36"/>
      <w:u w:val="none"/>
    </w:rPr>
  </w:style>
  <w:style w:type="table" w:styleId="Tablaconcuadrcula">
    <w:name w:val="Table Grid"/>
    <w:basedOn w:val="Tablanormal"/>
    <w:uiPriority w:val="39"/>
    <w:rsid w:val="00BB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4Char">
    <w:name w:val="Nivel 4 Char"/>
    <w:link w:val="Nivel4"/>
    <w:locked/>
    <w:rsid w:val="00AE7200"/>
    <w:rPr>
      <w:lang w:val="es-ES" w:bidi="ar-SA"/>
    </w:rPr>
  </w:style>
  <w:style w:type="paragraph" w:customStyle="1" w:styleId="Nivel4">
    <w:name w:val="Nivel 4"/>
    <w:basedOn w:val="Normal"/>
    <w:link w:val="Nivel4Char"/>
    <w:qFormat/>
    <w:rsid w:val="00AE7200"/>
    <w:pPr>
      <w:spacing w:before="240" w:after="240"/>
      <w:jc w:val="both"/>
    </w:pPr>
    <w:rPr>
      <w:rFonts w:ascii="Times New Roman" w:eastAsia="Times New Roman" w:hAnsi="Times New Roman"/>
      <w:sz w:val="20"/>
      <w:szCs w:val="20"/>
      <w:lang w:val="es-ES"/>
    </w:rPr>
  </w:style>
  <w:style w:type="paragraph" w:customStyle="1" w:styleId="Prrafodelista2">
    <w:name w:val="Párrafo de lista2"/>
    <w:basedOn w:val="Normal"/>
    <w:link w:val="PrrafodelistaCar"/>
    <w:qFormat/>
    <w:rsid w:val="00AE7200"/>
    <w:pPr>
      <w:suppressAutoHyphens/>
      <w:spacing w:after="0"/>
      <w:ind w:left="720"/>
      <w:jc w:val="both"/>
    </w:pPr>
    <w:rPr>
      <w:rFonts w:eastAsia="Times New Roman"/>
      <w:sz w:val="24"/>
      <w:szCs w:val="24"/>
      <w:lang w:eastAsia="zh-CN"/>
    </w:rPr>
  </w:style>
  <w:style w:type="character" w:customStyle="1" w:styleId="PrrafodelistaCar">
    <w:name w:val="Párrafo de lista Car"/>
    <w:aliases w:val="Bullet 1 Car,Use Case List Paragraph Car,Lista vistosa - Énfasis 11 Car,Párrafo de lista Car Car Car Car,Footnote Car,List Paragraph2 Car,Informe Car"/>
    <w:link w:val="Prrafodelista2"/>
    <w:uiPriority w:val="34"/>
    <w:rsid w:val="00AE7200"/>
    <w:rPr>
      <w:rFonts w:ascii="Calibri" w:hAnsi="Calibri"/>
      <w:sz w:val="24"/>
      <w:szCs w:val="24"/>
      <w:lang w:val="es-CR" w:eastAsia="zh-CN" w:bidi="ar-SA"/>
    </w:rPr>
  </w:style>
  <w:style w:type="paragraph" w:styleId="NormalWeb">
    <w:name w:val="Normal (Web)"/>
    <w:basedOn w:val="Normal"/>
    <w:uiPriority w:val="99"/>
    <w:rsid w:val="002B2A90"/>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iedepgina">
    <w:name w:val="footer"/>
    <w:basedOn w:val="Normal"/>
    <w:link w:val="PiedepginaCar"/>
    <w:rsid w:val="0079516F"/>
    <w:pPr>
      <w:tabs>
        <w:tab w:val="center" w:pos="4252"/>
        <w:tab w:val="right" w:pos="8504"/>
      </w:tabs>
      <w:spacing w:after="0" w:line="240" w:lineRule="auto"/>
    </w:pPr>
    <w:rPr>
      <w:rFonts w:ascii="Times New Roman" w:eastAsia="Times New Roman" w:hAnsi="Times New Roman"/>
      <w:sz w:val="24"/>
      <w:szCs w:val="24"/>
    </w:rPr>
  </w:style>
  <w:style w:type="character" w:customStyle="1" w:styleId="PiedepginaCar">
    <w:name w:val="Pie de página Car"/>
    <w:link w:val="Piedepgina"/>
    <w:rsid w:val="00337FE5"/>
    <w:rPr>
      <w:sz w:val="24"/>
      <w:szCs w:val="24"/>
    </w:rPr>
  </w:style>
  <w:style w:type="character" w:styleId="Nmerodepgina">
    <w:name w:val="page number"/>
    <w:basedOn w:val="Fuentedeprrafopredeter"/>
    <w:rsid w:val="0079516F"/>
  </w:style>
  <w:style w:type="paragraph" w:customStyle="1" w:styleId="Car0">
    <w:name w:val="Car"/>
    <w:basedOn w:val="Normal"/>
    <w:semiHidden/>
    <w:rsid w:val="00195E19"/>
    <w:pPr>
      <w:spacing w:after="160" w:line="240" w:lineRule="exact"/>
    </w:pPr>
    <w:rPr>
      <w:rFonts w:ascii="Verdana" w:eastAsia="Times New Roman" w:hAnsi="Verdana" w:cs="Verdana"/>
      <w:sz w:val="20"/>
      <w:szCs w:val="20"/>
      <w:lang w:val="en-AU"/>
    </w:rPr>
  </w:style>
  <w:style w:type="character" w:customStyle="1" w:styleId="spelle">
    <w:name w:val="spelle"/>
    <w:basedOn w:val="Fuentedeprrafopredeter"/>
    <w:rsid w:val="001A6209"/>
  </w:style>
  <w:style w:type="paragraph" w:customStyle="1" w:styleId="default">
    <w:name w:val="default"/>
    <w:basedOn w:val="Normal"/>
    <w:rsid w:val="001A6209"/>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pa11">
    <w:name w:val="pa11"/>
    <w:basedOn w:val="Normal"/>
    <w:rsid w:val="001A6209"/>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Hipervnculo">
    <w:name w:val="Hyperlink"/>
    <w:uiPriority w:val="99"/>
    <w:rsid w:val="004127FD"/>
    <w:rPr>
      <w:color w:val="0000FF"/>
      <w:u w:val="single"/>
    </w:rPr>
  </w:style>
  <w:style w:type="paragraph" w:customStyle="1" w:styleId="Body1">
    <w:name w:val="Body 1"/>
    <w:rsid w:val="004127FD"/>
    <w:pPr>
      <w:outlineLvl w:val="0"/>
    </w:pPr>
    <w:rPr>
      <w:rFonts w:eastAsia="ヒラギノ角ゴ Pro W3"/>
      <w:color w:val="000000"/>
      <w:lang w:val="en-US" w:eastAsia="es-ES"/>
    </w:rPr>
  </w:style>
  <w:style w:type="paragraph" w:styleId="Encabezado">
    <w:name w:val="header"/>
    <w:aliases w:val="encabezado"/>
    <w:basedOn w:val="Normal"/>
    <w:link w:val="EncabezadoCar"/>
    <w:uiPriority w:val="99"/>
    <w:rsid w:val="008609EE"/>
    <w:pPr>
      <w:tabs>
        <w:tab w:val="center" w:pos="4252"/>
        <w:tab w:val="right" w:pos="8504"/>
      </w:tabs>
    </w:pPr>
  </w:style>
  <w:style w:type="character" w:customStyle="1" w:styleId="EncabezadoCar">
    <w:name w:val="Encabezado Car"/>
    <w:aliases w:val="encabezado Car"/>
    <w:link w:val="Encabezado"/>
    <w:uiPriority w:val="99"/>
    <w:rsid w:val="001A325A"/>
    <w:rPr>
      <w:rFonts w:ascii="Calibri" w:eastAsia="Calibri" w:hAnsi="Calibri"/>
      <w:sz w:val="22"/>
      <w:szCs w:val="22"/>
    </w:rPr>
  </w:style>
  <w:style w:type="table" w:styleId="Tablamoderna">
    <w:name w:val="Table Contemporary"/>
    <w:basedOn w:val="Tablanormal"/>
    <w:rsid w:val="00D5597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xmsonormal">
    <w:name w:val="x_msonormal"/>
    <w:basedOn w:val="Normal"/>
    <w:qFormat/>
    <w:rsid w:val="00800377"/>
    <w:pPr>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msolist2">
    <w:name w:val="x_msolist2"/>
    <w:basedOn w:val="Normal"/>
    <w:rsid w:val="00800377"/>
    <w:pPr>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Default0">
    <w:name w:val="Default"/>
    <w:rsid w:val="0053798A"/>
    <w:pPr>
      <w:autoSpaceDE w:val="0"/>
      <w:autoSpaceDN w:val="0"/>
      <w:adjustRightInd w:val="0"/>
    </w:pPr>
    <w:rPr>
      <w:rFonts w:ascii="Cambria" w:eastAsia="Calibri" w:hAnsi="Cambria" w:cs="Cambria"/>
      <w:color w:val="000000"/>
      <w:sz w:val="24"/>
      <w:szCs w:val="24"/>
      <w:lang w:eastAsia="en-US"/>
    </w:rPr>
  </w:style>
  <w:style w:type="paragraph" w:styleId="Textosinformato">
    <w:name w:val="Plain Text"/>
    <w:basedOn w:val="Normal"/>
    <w:link w:val="TextosinformatoCar"/>
    <w:uiPriority w:val="99"/>
    <w:unhideWhenUsed/>
    <w:rsid w:val="0053798A"/>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53798A"/>
    <w:rPr>
      <w:rFonts w:ascii="Consolas" w:eastAsia="Calibri" w:hAnsi="Consolas" w:cs="Consolas"/>
      <w:sz w:val="21"/>
      <w:szCs w:val="21"/>
      <w:lang w:val="es-CR" w:eastAsia="en-US"/>
    </w:rPr>
  </w:style>
  <w:style w:type="paragraph" w:customStyle="1" w:styleId="p1">
    <w:name w:val="p1"/>
    <w:basedOn w:val="Normal"/>
    <w:rsid w:val="0053798A"/>
    <w:pPr>
      <w:spacing w:after="0" w:line="240" w:lineRule="auto"/>
    </w:pPr>
    <w:rPr>
      <w:rFonts w:ascii=".SF UI Text" w:hAnsi=".SF UI Text"/>
      <w:color w:val="454545"/>
      <w:sz w:val="26"/>
      <w:szCs w:val="26"/>
      <w:lang w:eastAsia="es-CR"/>
    </w:rPr>
  </w:style>
  <w:style w:type="table" w:customStyle="1" w:styleId="Sombreadoclaro-nfasis11">
    <w:name w:val="Sombreado claro - Énfasis 11"/>
    <w:basedOn w:val="Tablanormal"/>
    <w:uiPriority w:val="60"/>
    <w:rsid w:val="00A71C95"/>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inespaciado">
    <w:name w:val="No Spacing"/>
    <w:link w:val="SinespaciadoCar"/>
    <w:uiPriority w:val="1"/>
    <w:qFormat/>
    <w:rsid w:val="00BB3E29"/>
    <w:rPr>
      <w:rFonts w:ascii="Gill Sans MT" w:hAnsi="Gill Sans MT"/>
      <w:lang w:val="es-ES" w:eastAsia="es-ES"/>
    </w:rPr>
  </w:style>
  <w:style w:type="character" w:customStyle="1" w:styleId="SinespaciadoCar">
    <w:name w:val="Sin espaciado Car"/>
    <w:link w:val="Sinespaciado"/>
    <w:uiPriority w:val="1"/>
    <w:rsid w:val="00BB3E29"/>
    <w:rPr>
      <w:rFonts w:ascii="Gill Sans MT" w:hAnsi="Gill Sans MT"/>
      <w:lang w:val="es-ES" w:eastAsia="es-ES" w:bidi="ar-SA"/>
    </w:rPr>
  </w:style>
  <w:style w:type="paragraph" w:styleId="TtuloTDC">
    <w:name w:val="TOC Heading"/>
    <w:basedOn w:val="Ttulo1"/>
    <w:next w:val="Normal"/>
    <w:uiPriority w:val="39"/>
    <w:semiHidden/>
    <w:unhideWhenUsed/>
    <w:qFormat/>
    <w:rsid w:val="00E025AC"/>
    <w:pPr>
      <w:keepLines/>
      <w:pageBreakBefore w:val="0"/>
      <w:numPr>
        <w:numId w:val="0"/>
      </w:numPr>
      <w:shd w:val="clear" w:color="auto" w:fill="auto"/>
      <w:spacing w:before="480" w:after="0"/>
      <w:jc w:val="left"/>
      <w:outlineLvl w:val="9"/>
    </w:pPr>
    <w:rPr>
      <w:rFonts w:ascii="Cambria" w:hAnsi="Cambria" w:cs="Times New Roman"/>
      <w:color w:val="365F91"/>
      <w:kern w:val="0"/>
      <w:sz w:val="28"/>
      <w:szCs w:val="28"/>
      <w:lang w:val="es-ES" w:eastAsia="en-US"/>
    </w:rPr>
  </w:style>
  <w:style w:type="paragraph" w:styleId="TDC2">
    <w:name w:val="toc 2"/>
    <w:basedOn w:val="Normal"/>
    <w:next w:val="Normal"/>
    <w:autoRedefine/>
    <w:uiPriority w:val="39"/>
    <w:unhideWhenUsed/>
    <w:qFormat/>
    <w:rsid w:val="00E025AC"/>
    <w:pPr>
      <w:spacing w:after="100"/>
      <w:ind w:left="220"/>
    </w:pPr>
    <w:rPr>
      <w:rFonts w:eastAsia="Times New Roman"/>
      <w:lang w:val="es-ES"/>
    </w:rPr>
  </w:style>
  <w:style w:type="paragraph" w:styleId="TDC1">
    <w:name w:val="toc 1"/>
    <w:basedOn w:val="Normal"/>
    <w:next w:val="Normal"/>
    <w:autoRedefine/>
    <w:uiPriority w:val="39"/>
    <w:unhideWhenUsed/>
    <w:qFormat/>
    <w:rsid w:val="00E025AC"/>
    <w:pPr>
      <w:spacing w:after="100"/>
    </w:pPr>
    <w:rPr>
      <w:rFonts w:eastAsia="Times New Roman"/>
      <w:lang w:val="es-ES"/>
    </w:rPr>
  </w:style>
  <w:style w:type="paragraph" w:styleId="TDC3">
    <w:name w:val="toc 3"/>
    <w:basedOn w:val="Normal"/>
    <w:next w:val="Normal"/>
    <w:autoRedefine/>
    <w:uiPriority w:val="39"/>
    <w:unhideWhenUsed/>
    <w:qFormat/>
    <w:rsid w:val="00E025AC"/>
    <w:pPr>
      <w:spacing w:after="100"/>
      <w:ind w:left="440"/>
    </w:pPr>
    <w:rPr>
      <w:rFonts w:eastAsia="Times New Roman"/>
      <w:lang w:val="es-ES"/>
    </w:rPr>
  </w:style>
  <w:style w:type="paragraph" w:styleId="ndice1">
    <w:name w:val="index 1"/>
    <w:basedOn w:val="Normal"/>
    <w:next w:val="Normal"/>
    <w:autoRedefine/>
    <w:rsid w:val="00583ECB"/>
    <w:pPr>
      <w:ind w:left="220" w:hanging="220"/>
    </w:pPr>
  </w:style>
  <w:style w:type="character" w:customStyle="1" w:styleId="Fuentedeprrafopredeter1">
    <w:name w:val="Fuente de párrafo predeter.1"/>
    <w:rsid w:val="0024681B"/>
  </w:style>
  <w:style w:type="character" w:customStyle="1" w:styleId="ListLabel1">
    <w:name w:val="ListLabel 1"/>
    <w:rsid w:val="0024681B"/>
    <w:rPr>
      <w:rFonts w:ascii="Times New Roman" w:hAnsi="Times New Roman" w:cs="Times New Roman"/>
      <w:b/>
      <w:sz w:val="22"/>
      <w:szCs w:val="22"/>
    </w:rPr>
  </w:style>
  <w:style w:type="character" w:customStyle="1" w:styleId="ListLabel2">
    <w:name w:val="ListLabel 2"/>
    <w:rsid w:val="0024681B"/>
    <w:rPr>
      <w:rFonts w:cs="Courier New"/>
    </w:rPr>
  </w:style>
  <w:style w:type="character" w:customStyle="1" w:styleId="ListLabel3">
    <w:name w:val="ListLabel 3"/>
    <w:rsid w:val="0024681B"/>
    <w:rPr>
      <w:rFonts w:eastAsia="Calibri" w:cs="Arial"/>
    </w:rPr>
  </w:style>
  <w:style w:type="character" w:customStyle="1" w:styleId="ListLabel4">
    <w:name w:val="ListLabel 4"/>
    <w:rsid w:val="0024681B"/>
    <w:rPr>
      <w:b/>
    </w:rPr>
  </w:style>
  <w:style w:type="character" w:customStyle="1" w:styleId="ListLabel5">
    <w:name w:val="ListLabel 5"/>
    <w:rsid w:val="0024681B"/>
    <w:rPr>
      <w:rFonts w:ascii="Times New Roman" w:hAnsi="Times New Roman" w:cs="Times New Roman"/>
      <w:b/>
      <w:bCs/>
      <w:sz w:val="24"/>
      <w:szCs w:val="24"/>
    </w:rPr>
  </w:style>
  <w:style w:type="character" w:customStyle="1" w:styleId="ListLabel6">
    <w:name w:val="ListLabel 6"/>
    <w:rsid w:val="0024681B"/>
    <w:rPr>
      <w:b w:val="0"/>
    </w:rPr>
  </w:style>
  <w:style w:type="character" w:customStyle="1" w:styleId="ListLabel7">
    <w:name w:val="ListLabel 7"/>
    <w:rsid w:val="0024681B"/>
    <w:rPr>
      <w:b/>
      <w:color w:val="00000A"/>
    </w:rPr>
  </w:style>
  <w:style w:type="character" w:customStyle="1" w:styleId="ListLabel8">
    <w:name w:val="ListLabel 8"/>
    <w:rsid w:val="0024681B"/>
    <w:rPr>
      <w:rFonts w:eastAsia="Times New Roman" w:cs="Times New Roman"/>
      <w:b/>
    </w:rPr>
  </w:style>
  <w:style w:type="paragraph" w:customStyle="1" w:styleId="Heading">
    <w:name w:val="Heading"/>
    <w:basedOn w:val="Normal"/>
    <w:next w:val="Textoindependiente"/>
    <w:rsid w:val="0024681B"/>
    <w:pPr>
      <w:keepNext/>
      <w:tabs>
        <w:tab w:val="left" w:pos="850"/>
        <w:tab w:val="left" w:pos="1191"/>
        <w:tab w:val="left" w:pos="1531"/>
      </w:tabs>
      <w:suppressAutoHyphens/>
      <w:spacing w:before="240" w:after="120" w:line="240" w:lineRule="auto"/>
      <w:jc w:val="both"/>
    </w:pPr>
    <w:rPr>
      <w:rFonts w:ascii="Arial" w:eastAsia="Microsoft YaHei" w:hAnsi="Arial" w:cs="Mangal"/>
      <w:kern w:val="1"/>
      <w:sz w:val="28"/>
      <w:szCs w:val="28"/>
      <w:lang w:val="en-GB" w:eastAsia="ar-SA"/>
    </w:rPr>
  </w:style>
  <w:style w:type="paragraph" w:styleId="Textoindependiente">
    <w:name w:val="Body Text"/>
    <w:basedOn w:val="Normal"/>
    <w:link w:val="TextoindependienteCar"/>
    <w:rsid w:val="0024681B"/>
    <w:pPr>
      <w:tabs>
        <w:tab w:val="left" w:pos="850"/>
        <w:tab w:val="left" w:pos="1191"/>
        <w:tab w:val="left" w:pos="1531"/>
      </w:tabs>
      <w:suppressAutoHyphens/>
      <w:spacing w:after="120" w:line="240" w:lineRule="auto"/>
      <w:jc w:val="both"/>
    </w:pPr>
    <w:rPr>
      <w:rFonts w:ascii="Times New Roman" w:eastAsia="Times New Roman" w:hAnsi="Times New Roman"/>
      <w:kern w:val="1"/>
      <w:lang w:val="en-GB" w:eastAsia="ar-SA"/>
    </w:rPr>
  </w:style>
  <w:style w:type="character" w:customStyle="1" w:styleId="TextoindependienteCar">
    <w:name w:val="Texto independiente Car"/>
    <w:basedOn w:val="Fuentedeprrafopredeter"/>
    <w:link w:val="Textoindependiente"/>
    <w:rsid w:val="0024681B"/>
    <w:rPr>
      <w:kern w:val="1"/>
      <w:sz w:val="22"/>
      <w:szCs w:val="22"/>
      <w:lang w:val="en-GB" w:eastAsia="ar-SA"/>
    </w:rPr>
  </w:style>
  <w:style w:type="paragraph" w:styleId="Lista">
    <w:name w:val="List"/>
    <w:basedOn w:val="Textoindependiente"/>
    <w:rsid w:val="0024681B"/>
    <w:rPr>
      <w:rFonts w:cs="Mangal"/>
    </w:rPr>
  </w:style>
  <w:style w:type="paragraph" w:customStyle="1" w:styleId="Descripcin1">
    <w:name w:val="Descripción1"/>
    <w:basedOn w:val="Normal"/>
    <w:rsid w:val="0024681B"/>
    <w:pPr>
      <w:suppressLineNumbers/>
      <w:tabs>
        <w:tab w:val="left" w:pos="850"/>
        <w:tab w:val="left" w:pos="1191"/>
        <w:tab w:val="left" w:pos="1531"/>
      </w:tabs>
      <w:suppressAutoHyphens/>
      <w:spacing w:before="120" w:after="120" w:line="240" w:lineRule="auto"/>
      <w:jc w:val="both"/>
    </w:pPr>
    <w:rPr>
      <w:rFonts w:ascii="Times New Roman" w:eastAsia="Times New Roman" w:hAnsi="Times New Roman" w:cs="Mangal"/>
      <w:i/>
      <w:iCs/>
      <w:kern w:val="1"/>
      <w:sz w:val="24"/>
      <w:szCs w:val="24"/>
      <w:lang w:val="en-GB" w:eastAsia="ar-SA"/>
    </w:rPr>
  </w:style>
  <w:style w:type="paragraph" w:customStyle="1" w:styleId="Index">
    <w:name w:val="Index"/>
    <w:basedOn w:val="Normal"/>
    <w:rsid w:val="0024681B"/>
    <w:pPr>
      <w:suppressLineNumbers/>
      <w:tabs>
        <w:tab w:val="left" w:pos="850"/>
        <w:tab w:val="left" w:pos="1191"/>
        <w:tab w:val="left" w:pos="1531"/>
      </w:tabs>
      <w:suppressAutoHyphens/>
      <w:spacing w:after="0" w:line="240" w:lineRule="auto"/>
      <w:jc w:val="both"/>
    </w:pPr>
    <w:rPr>
      <w:rFonts w:ascii="Times New Roman" w:eastAsia="Times New Roman" w:hAnsi="Times New Roman" w:cs="Mangal"/>
      <w:kern w:val="1"/>
      <w:lang w:val="en-GB" w:eastAsia="ar-SA"/>
    </w:rPr>
  </w:style>
  <w:style w:type="paragraph" w:customStyle="1" w:styleId="Prrafodelista1">
    <w:name w:val="Párrafo de lista1"/>
    <w:basedOn w:val="Normal"/>
    <w:rsid w:val="0024681B"/>
    <w:pPr>
      <w:suppressAutoHyphens/>
      <w:ind w:left="720"/>
    </w:pPr>
    <w:rPr>
      <w:rFonts w:eastAsia="Times New Roman"/>
      <w:kern w:val="1"/>
      <w:lang w:val="es-US" w:eastAsia="ar-SA"/>
    </w:rPr>
  </w:style>
  <w:style w:type="paragraph" w:customStyle="1" w:styleId="Textosinformato1">
    <w:name w:val="Texto sin formato1"/>
    <w:basedOn w:val="Normal"/>
    <w:rsid w:val="0024681B"/>
    <w:pPr>
      <w:suppressAutoHyphens/>
      <w:spacing w:after="0" w:line="240" w:lineRule="auto"/>
    </w:pPr>
    <w:rPr>
      <w:rFonts w:ascii="Consolas" w:hAnsi="Consolas"/>
      <w:kern w:val="1"/>
      <w:sz w:val="21"/>
      <w:szCs w:val="21"/>
      <w:lang w:val="en-GB" w:eastAsia="ar-SA"/>
    </w:rPr>
  </w:style>
  <w:style w:type="paragraph" w:customStyle="1" w:styleId="Textodeglobo1">
    <w:name w:val="Texto de globo1"/>
    <w:basedOn w:val="Normal"/>
    <w:rsid w:val="0024681B"/>
    <w:pPr>
      <w:tabs>
        <w:tab w:val="left" w:pos="850"/>
        <w:tab w:val="left" w:pos="1191"/>
        <w:tab w:val="left" w:pos="1531"/>
      </w:tabs>
      <w:suppressAutoHyphens/>
      <w:spacing w:after="0" w:line="240" w:lineRule="auto"/>
      <w:jc w:val="both"/>
    </w:pPr>
    <w:rPr>
      <w:rFonts w:ascii="Tahoma" w:eastAsia="Times New Roman" w:hAnsi="Tahoma" w:cs="Tahoma"/>
      <w:kern w:val="1"/>
      <w:sz w:val="16"/>
      <w:szCs w:val="16"/>
      <w:lang w:val="en-GB" w:eastAsia="ar-SA"/>
    </w:rPr>
  </w:style>
  <w:style w:type="paragraph" w:customStyle="1" w:styleId="Textodecampo">
    <w:name w:val="Texto de campo"/>
    <w:basedOn w:val="Normal"/>
    <w:rsid w:val="000C492F"/>
    <w:pPr>
      <w:spacing w:before="60" w:after="60" w:line="240" w:lineRule="auto"/>
    </w:pPr>
    <w:rPr>
      <w:rFonts w:ascii="Arial" w:eastAsia="Times New Roman" w:hAnsi="Arial" w:cs="Arial"/>
      <w:sz w:val="19"/>
      <w:szCs w:val="19"/>
      <w:lang w:bidi="en-US"/>
    </w:rPr>
  </w:style>
  <w:style w:type="character" w:customStyle="1" w:styleId="Ttulo1Car">
    <w:name w:val="Título 1 Car"/>
    <w:basedOn w:val="Fuentedeprrafopredeter"/>
    <w:link w:val="Ttulo1"/>
    <w:uiPriority w:val="9"/>
    <w:rsid w:val="006A1313"/>
    <w:rPr>
      <w:rFonts w:ascii="Arial" w:hAnsi="Arial" w:cs="Arial"/>
      <w:b/>
      <w:bCs/>
      <w:kern w:val="32"/>
      <w:sz w:val="32"/>
      <w:szCs w:val="32"/>
      <w:shd w:val="clear" w:color="auto" w:fill="D9D9D9"/>
      <w:lang w:eastAsia="es-ES"/>
    </w:rPr>
  </w:style>
  <w:style w:type="numbering" w:customStyle="1" w:styleId="Sinlista1">
    <w:name w:val="Sin lista1"/>
    <w:next w:val="Sinlista"/>
    <w:uiPriority w:val="99"/>
    <w:semiHidden/>
    <w:unhideWhenUsed/>
    <w:rsid w:val="000D210B"/>
  </w:style>
  <w:style w:type="table" w:customStyle="1" w:styleId="Tablaconcuadrcula1">
    <w:name w:val="Tabla con cuadrícula1"/>
    <w:basedOn w:val="Tablanormal"/>
    <w:next w:val="Tablaconcuadrcula"/>
    <w:uiPriority w:val="59"/>
    <w:rsid w:val="000D210B"/>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1">
    <w:name w:val="Texto de globo Car1"/>
    <w:basedOn w:val="Fuentedeprrafopredeter"/>
    <w:uiPriority w:val="99"/>
    <w:semiHidden/>
    <w:rsid w:val="000D210B"/>
    <w:rPr>
      <w:rFonts w:ascii="Tahoma" w:eastAsia="Times New Roman" w:hAnsi="Tahoma" w:cs="Tahoma"/>
      <w:kern w:val="1"/>
      <w:sz w:val="16"/>
      <w:szCs w:val="16"/>
      <w:lang w:val="en-GB" w:eastAsia="ar-SA"/>
    </w:rPr>
  </w:style>
  <w:style w:type="paragraph" w:styleId="Textonotaalfinal">
    <w:name w:val="endnote text"/>
    <w:basedOn w:val="Normal"/>
    <w:link w:val="TextonotaalfinalCar"/>
    <w:uiPriority w:val="99"/>
    <w:semiHidden/>
    <w:unhideWhenUsed/>
    <w:rsid w:val="000D210B"/>
    <w:pPr>
      <w:tabs>
        <w:tab w:val="left" w:pos="850"/>
        <w:tab w:val="left" w:pos="1191"/>
        <w:tab w:val="left" w:pos="1531"/>
      </w:tabs>
      <w:suppressAutoHyphens/>
      <w:spacing w:after="0" w:line="240" w:lineRule="auto"/>
      <w:jc w:val="both"/>
    </w:pPr>
    <w:rPr>
      <w:rFonts w:ascii="Times New Roman" w:eastAsia="Times New Roman" w:hAnsi="Times New Roman"/>
      <w:kern w:val="1"/>
      <w:sz w:val="20"/>
      <w:szCs w:val="20"/>
      <w:lang w:val="en-GB" w:eastAsia="ar-SA"/>
    </w:rPr>
  </w:style>
  <w:style w:type="character" w:customStyle="1" w:styleId="TextonotaalfinalCar">
    <w:name w:val="Texto nota al final Car"/>
    <w:basedOn w:val="Fuentedeprrafopredeter"/>
    <w:link w:val="Textonotaalfinal"/>
    <w:uiPriority w:val="99"/>
    <w:semiHidden/>
    <w:rsid w:val="000D210B"/>
    <w:rPr>
      <w:kern w:val="1"/>
      <w:lang w:val="en-GB" w:eastAsia="ar-SA"/>
    </w:rPr>
  </w:style>
  <w:style w:type="character" w:styleId="Refdenotaalfinal">
    <w:name w:val="endnote reference"/>
    <w:basedOn w:val="Fuentedeprrafopredeter"/>
    <w:uiPriority w:val="99"/>
    <w:semiHidden/>
    <w:unhideWhenUsed/>
    <w:rsid w:val="000D210B"/>
    <w:rPr>
      <w:vertAlign w:val="superscript"/>
    </w:rPr>
  </w:style>
  <w:style w:type="table" w:customStyle="1" w:styleId="Listaclara-nfasis11">
    <w:name w:val="Lista clara - Énfasis 11"/>
    <w:basedOn w:val="Tablanormal"/>
    <w:uiPriority w:val="61"/>
    <w:rsid w:val="000D210B"/>
    <w:rPr>
      <w:rFonts w:asciiTheme="minorHAnsi" w:eastAsiaTheme="minorHAnsi" w:hAnsiTheme="minorHAnsi" w:cstheme="minorBidi"/>
      <w:sz w:val="22"/>
      <w:szCs w:val="22"/>
      <w:lang w:val="es-E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adelista4-nfasis1">
    <w:name w:val="List Table 4 Accent 1"/>
    <w:basedOn w:val="Tablanormal"/>
    <w:uiPriority w:val="49"/>
    <w:rsid w:val="00A102E7"/>
    <w:pPr>
      <w:jc w:val="center"/>
    </w:pPr>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Sinlista2">
    <w:name w:val="Sin lista2"/>
    <w:next w:val="Sinlista"/>
    <w:uiPriority w:val="99"/>
    <w:semiHidden/>
    <w:unhideWhenUsed/>
    <w:rsid w:val="003513FD"/>
  </w:style>
  <w:style w:type="table" w:styleId="Cuadrculamedia3-nfasis1">
    <w:name w:val="Medium Grid 3 Accent 1"/>
    <w:basedOn w:val="Tablanormal"/>
    <w:uiPriority w:val="69"/>
    <w:rsid w:val="003513FD"/>
    <w:rPr>
      <w:rFonts w:asciiTheme="minorHAnsi" w:eastAsiaTheme="minorHAnsi" w:hAnsiTheme="minorHAnsi" w:cstheme="minorBidi"/>
      <w:sz w:val="22"/>
      <w:szCs w:val="22"/>
      <w:lang w:val="es-E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encinsinresolver1">
    <w:name w:val="Mención sin resolver1"/>
    <w:basedOn w:val="Fuentedeprrafopredeter"/>
    <w:uiPriority w:val="99"/>
    <w:semiHidden/>
    <w:unhideWhenUsed/>
    <w:rsid w:val="003513FD"/>
    <w:rPr>
      <w:color w:val="808080"/>
      <w:shd w:val="clear" w:color="auto" w:fill="E6E6E6"/>
    </w:rPr>
  </w:style>
  <w:style w:type="character" w:styleId="Mencinsinresolver">
    <w:name w:val="Unresolved Mention"/>
    <w:basedOn w:val="Fuentedeprrafopredeter"/>
    <w:uiPriority w:val="99"/>
    <w:semiHidden/>
    <w:unhideWhenUsed/>
    <w:rsid w:val="003513FD"/>
    <w:rPr>
      <w:color w:val="605E5C"/>
      <w:shd w:val="clear" w:color="auto" w:fill="E1DFDD"/>
    </w:rPr>
  </w:style>
  <w:style w:type="character" w:customStyle="1" w:styleId="TextocomentarioCar">
    <w:name w:val="Texto comentario Car"/>
    <w:basedOn w:val="Fuentedeprrafopredeter"/>
    <w:link w:val="Textocomentario"/>
    <w:uiPriority w:val="99"/>
    <w:rsid w:val="003513FD"/>
    <w:rPr>
      <w:rFonts w:ascii="Calibri" w:eastAsia="Calibri" w:hAnsi="Calibri"/>
      <w:lang w:val="en-US" w:eastAsia="en-US"/>
    </w:rPr>
  </w:style>
  <w:style w:type="paragraph" w:customStyle="1" w:styleId="xmsolistparagraph">
    <w:name w:val="x_msolistparagraph"/>
    <w:basedOn w:val="Normal"/>
    <w:rsid w:val="003513FD"/>
    <w:pPr>
      <w:spacing w:after="0" w:line="240" w:lineRule="auto"/>
      <w:ind w:left="720"/>
    </w:pPr>
    <w:rPr>
      <w:rFonts w:eastAsiaTheme="minorHAnsi" w:cs="Calibri"/>
      <w:lang w:eastAsia="es-CR"/>
    </w:rPr>
  </w:style>
  <w:style w:type="paragraph" w:customStyle="1" w:styleId="xxmsonormal">
    <w:name w:val="x_xmsonormal"/>
    <w:basedOn w:val="Normal"/>
    <w:rsid w:val="00CE7032"/>
    <w:pPr>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western">
    <w:name w:val="western"/>
    <w:basedOn w:val="Normal"/>
    <w:rsid w:val="00381EE8"/>
    <w:pPr>
      <w:spacing w:before="100" w:beforeAutospacing="1" w:after="142"/>
    </w:pPr>
    <w:rPr>
      <w:rFonts w:eastAsia="Times New Roman" w:cs="Calibri"/>
      <w:color w:val="000000"/>
      <w:lang w:eastAsia="es-CR"/>
    </w:rPr>
  </w:style>
  <w:style w:type="character" w:styleId="Hipervnculovisitado">
    <w:name w:val="FollowedHyperlink"/>
    <w:basedOn w:val="Fuentedeprrafopredeter"/>
    <w:uiPriority w:val="99"/>
    <w:semiHidden/>
    <w:unhideWhenUsed/>
    <w:rsid w:val="00356493"/>
    <w:rPr>
      <w:color w:val="954F72"/>
      <w:u w:val="single"/>
    </w:rPr>
  </w:style>
  <w:style w:type="paragraph" w:customStyle="1" w:styleId="msonormal0">
    <w:name w:val="msonormal"/>
    <w:basedOn w:val="Normal"/>
    <w:rsid w:val="00356493"/>
    <w:pPr>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font5">
    <w:name w:val="font5"/>
    <w:basedOn w:val="Normal"/>
    <w:rsid w:val="00356493"/>
    <w:pPr>
      <w:spacing w:before="100" w:beforeAutospacing="1" w:after="100" w:afterAutospacing="1" w:line="240" w:lineRule="auto"/>
    </w:pPr>
    <w:rPr>
      <w:rFonts w:ascii="Cambria" w:eastAsia="Times New Roman" w:hAnsi="Cambria"/>
      <w:color w:val="000000"/>
      <w:sz w:val="20"/>
      <w:szCs w:val="20"/>
      <w:lang w:eastAsia="es-CR"/>
    </w:rPr>
  </w:style>
  <w:style w:type="paragraph" w:customStyle="1" w:styleId="font6">
    <w:name w:val="font6"/>
    <w:basedOn w:val="Normal"/>
    <w:rsid w:val="00356493"/>
    <w:pPr>
      <w:spacing w:before="100" w:beforeAutospacing="1" w:after="100" w:afterAutospacing="1" w:line="240" w:lineRule="auto"/>
    </w:pPr>
    <w:rPr>
      <w:rFonts w:ascii="Cambria" w:eastAsia="Times New Roman" w:hAnsi="Cambria"/>
      <w:sz w:val="20"/>
      <w:szCs w:val="20"/>
      <w:lang w:eastAsia="es-CR"/>
    </w:rPr>
  </w:style>
  <w:style w:type="paragraph" w:customStyle="1" w:styleId="font7">
    <w:name w:val="font7"/>
    <w:basedOn w:val="Normal"/>
    <w:rsid w:val="00356493"/>
    <w:pPr>
      <w:spacing w:before="100" w:beforeAutospacing="1" w:after="100" w:afterAutospacing="1" w:line="240" w:lineRule="auto"/>
    </w:pPr>
    <w:rPr>
      <w:rFonts w:ascii="Cambria" w:eastAsia="Times New Roman" w:hAnsi="Cambria"/>
      <w:color w:val="FF0000"/>
      <w:sz w:val="20"/>
      <w:szCs w:val="20"/>
      <w:lang w:eastAsia="es-CR"/>
    </w:rPr>
  </w:style>
  <w:style w:type="paragraph" w:customStyle="1" w:styleId="xl65">
    <w:name w:val="xl65"/>
    <w:basedOn w:val="Normal"/>
    <w:rsid w:val="00356493"/>
    <w:pPr>
      <w:pBdr>
        <w:bottom w:val="single" w:sz="8" w:space="0" w:color="auto"/>
        <w:right w:val="single" w:sz="8" w:space="0" w:color="auto"/>
      </w:pBdr>
      <w:shd w:val="clear" w:color="404040" w:fill="333399"/>
      <w:spacing w:before="100" w:beforeAutospacing="1" w:after="100" w:afterAutospacing="1" w:line="240" w:lineRule="auto"/>
      <w:jc w:val="center"/>
      <w:textAlignment w:val="center"/>
    </w:pPr>
    <w:rPr>
      <w:rFonts w:ascii="Cambria" w:eastAsia="Times New Roman" w:hAnsi="Cambria"/>
      <w:b/>
      <w:bCs/>
      <w:color w:val="FFFFFF"/>
      <w:sz w:val="28"/>
      <w:szCs w:val="28"/>
      <w:lang w:eastAsia="es-CR"/>
    </w:rPr>
  </w:style>
  <w:style w:type="paragraph" w:customStyle="1" w:styleId="xl66">
    <w:name w:val="xl66"/>
    <w:basedOn w:val="Normal"/>
    <w:rsid w:val="00356493"/>
    <w:pPr>
      <w:pBdr>
        <w:top w:val="single" w:sz="4" w:space="0" w:color="auto"/>
        <w:left w:val="single" w:sz="4" w:space="0" w:color="auto"/>
        <w:bottom w:val="single" w:sz="4" w:space="0" w:color="auto"/>
        <w:right w:val="single" w:sz="4" w:space="0" w:color="auto"/>
      </w:pBdr>
      <w:shd w:val="clear" w:color="404040" w:fill="333399"/>
      <w:spacing w:before="100" w:beforeAutospacing="1" w:after="100" w:afterAutospacing="1" w:line="240" w:lineRule="auto"/>
      <w:jc w:val="center"/>
      <w:textAlignment w:val="center"/>
    </w:pPr>
    <w:rPr>
      <w:rFonts w:ascii="Cambria" w:eastAsia="Times New Roman" w:hAnsi="Cambria"/>
      <w:b/>
      <w:bCs/>
      <w:color w:val="FFFFFF"/>
      <w:sz w:val="20"/>
      <w:szCs w:val="20"/>
      <w:lang w:eastAsia="es-CR"/>
    </w:rPr>
  </w:style>
  <w:style w:type="paragraph" w:customStyle="1" w:styleId="xl67">
    <w:name w:val="xl67"/>
    <w:basedOn w:val="Normal"/>
    <w:rsid w:val="00356493"/>
    <w:pPr>
      <w:pBdr>
        <w:left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68">
    <w:name w:val="xl68"/>
    <w:basedOn w:val="Normal"/>
    <w:rsid w:val="00356493"/>
    <w:pPr>
      <w:pBdr>
        <w:right w:val="single" w:sz="8" w:space="0" w:color="auto"/>
      </w:pBdr>
      <w:shd w:val="clear" w:color="BFBFBF" w:fill="C0C0C0"/>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69">
    <w:name w:val="xl69"/>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70">
    <w:name w:val="xl70"/>
    <w:basedOn w:val="Normal"/>
    <w:rsid w:val="00356493"/>
    <w:pPr>
      <w:pBdr>
        <w:left w:val="single" w:sz="8" w:space="0" w:color="auto"/>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71">
    <w:name w:val="xl71"/>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72">
    <w:name w:val="xl72"/>
    <w:basedOn w:val="Normal"/>
    <w:rsid w:val="00356493"/>
    <w:pPr>
      <w:pBdr>
        <w:left w:val="single" w:sz="8" w:space="0" w:color="auto"/>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73">
    <w:name w:val="xl73"/>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74">
    <w:name w:val="xl74"/>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75">
    <w:name w:val="xl75"/>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eastAsia="Times New Roman" w:cs="Calibri"/>
      <w:color w:val="9C0006"/>
      <w:sz w:val="24"/>
      <w:szCs w:val="24"/>
      <w:lang w:eastAsia="es-CR"/>
    </w:rPr>
  </w:style>
  <w:style w:type="paragraph" w:customStyle="1" w:styleId="xl76">
    <w:name w:val="xl76"/>
    <w:basedOn w:val="Normal"/>
    <w:rsid w:val="00356493"/>
    <w:pPr>
      <w:pBdr>
        <w:left w:val="single" w:sz="8" w:space="0" w:color="auto"/>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77">
    <w:name w:val="xl77"/>
    <w:basedOn w:val="Normal"/>
    <w:rsid w:val="00356493"/>
    <w:pPr>
      <w:pBdr>
        <w:bottom w:val="single" w:sz="8" w:space="0" w:color="auto"/>
        <w:right w:val="single" w:sz="8" w:space="0" w:color="auto"/>
      </w:pBdr>
      <w:shd w:val="clear" w:color="C0C0C0" w:fill="BFBFBF"/>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78">
    <w:name w:val="xl78"/>
    <w:basedOn w:val="Normal"/>
    <w:rsid w:val="00356493"/>
    <w:pP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79">
    <w:name w:val="xl79"/>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80">
    <w:name w:val="xl80"/>
    <w:basedOn w:val="Normal"/>
    <w:rsid w:val="00356493"/>
    <w:pPr>
      <w:pBdr>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81">
    <w:name w:val="xl81"/>
    <w:basedOn w:val="Normal"/>
    <w:rsid w:val="00356493"/>
    <w:pP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82">
    <w:name w:val="xl82"/>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83">
    <w:name w:val="xl83"/>
    <w:basedOn w:val="Normal"/>
    <w:rsid w:val="00356493"/>
    <w:pPr>
      <w:pBdr>
        <w:left w:val="single" w:sz="8" w:space="0" w:color="auto"/>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84">
    <w:name w:val="xl84"/>
    <w:basedOn w:val="Normal"/>
    <w:rsid w:val="00356493"/>
    <w:pPr>
      <w:pBdr>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85">
    <w:name w:val="xl85"/>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86">
    <w:name w:val="xl86"/>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87">
    <w:name w:val="xl87"/>
    <w:basedOn w:val="Normal"/>
    <w:rsid w:val="00356493"/>
    <w:pPr>
      <w:pBdr>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eastAsia="Times New Roman" w:cs="Calibri"/>
      <w:color w:val="800080"/>
      <w:sz w:val="20"/>
      <w:szCs w:val="20"/>
      <w:lang w:eastAsia="es-CR"/>
    </w:rPr>
  </w:style>
  <w:style w:type="paragraph" w:customStyle="1" w:styleId="xl88">
    <w:name w:val="xl88"/>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eastAsia="Times New Roman" w:cs="Calibri"/>
      <w:color w:val="800080"/>
      <w:sz w:val="20"/>
      <w:szCs w:val="20"/>
      <w:lang w:eastAsia="es-CR"/>
    </w:rPr>
  </w:style>
  <w:style w:type="paragraph" w:customStyle="1" w:styleId="xl89">
    <w:name w:val="xl89"/>
    <w:basedOn w:val="Normal"/>
    <w:rsid w:val="00356493"/>
    <w:pPr>
      <w:pBdr>
        <w:left w:val="single" w:sz="8" w:space="0" w:color="auto"/>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90">
    <w:name w:val="xl90"/>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91">
    <w:name w:val="xl91"/>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92">
    <w:name w:val="xl92"/>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eastAsia="Times New Roman" w:cs="Calibri"/>
      <w:sz w:val="20"/>
      <w:szCs w:val="20"/>
      <w:lang w:eastAsia="es-CR"/>
    </w:rPr>
  </w:style>
  <w:style w:type="paragraph" w:customStyle="1" w:styleId="xl93">
    <w:name w:val="xl93"/>
    <w:basedOn w:val="Normal"/>
    <w:rsid w:val="00356493"/>
    <w:pPr>
      <w:pBdr>
        <w:left w:val="single" w:sz="8" w:space="0" w:color="auto"/>
        <w:bottom w:val="single" w:sz="8" w:space="0" w:color="auto"/>
        <w:right w:val="single" w:sz="8" w:space="0" w:color="auto"/>
      </w:pBd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94">
    <w:name w:val="xl94"/>
    <w:basedOn w:val="Normal"/>
    <w:rsid w:val="00356493"/>
    <w:pPr>
      <w:pBdr>
        <w:bottom w:val="single" w:sz="8" w:space="0" w:color="auto"/>
        <w:right w:val="single" w:sz="8" w:space="0" w:color="auto"/>
      </w:pBdr>
      <w:shd w:val="clear" w:color="B2B2B2" w:fill="A6A6A6"/>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95">
    <w:name w:val="xl95"/>
    <w:basedOn w:val="Normal"/>
    <w:rsid w:val="00356493"/>
    <w:pPr>
      <w:pBdr>
        <w:bottom w:val="single" w:sz="8" w:space="0" w:color="auto"/>
        <w:right w:val="single" w:sz="8" w:space="0" w:color="auto"/>
      </w:pBd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96">
    <w:name w:val="xl96"/>
    <w:basedOn w:val="Normal"/>
    <w:rsid w:val="00356493"/>
    <w:pPr>
      <w:pBdr>
        <w:bottom w:val="single" w:sz="8" w:space="0" w:color="auto"/>
        <w:right w:val="single" w:sz="8" w:space="0" w:color="auto"/>
      </w:pBd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97">
    <w:name w:val="xl97"/>
    <w:basedOn w:val="Normal"/>
    <w:rsid w:val="00356493"/>
    <w:pPr>
      <w:pBdr>
        <w:left w:val="single" w:sz="8" w:space="0" w:color="auto"/>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98">
    <w:name w:val="xl98"/>
    <w:basedOn w:val="Normal"/>
    <w:rsid w:val="00356493"/>
    <w:pPr>
      <w:pBdr>
        <w:bottom w:val="single" w:sz="8" w:space="0" w:color="auto"/>
        <w:right w:val="single" w:sz="8" w:space="0" w:color="auto"/>
      </w:pBdr>
      <w:shd w:val="clear" w:color="C0C0C0" w:fill="BFBFBF"/>
      <w:spacing w:before="100" w:beforeAutospacing="1" w:after="100" w:afterAutospacing="1" w:line="240" w:lineRule="auto"/>
      <w:jc w:val="center"/>
      <w:textAlignment w:val="center"/>
    </w:pPr>
    <w:rPr>
      <w:rFonts w:eastAsia="Times New Roman" w:cs="Calibri"/>
      <w:color w:val="9C0006"/>
      <w:sz w:val="24"/>
      <w:szCs w:val="24"/>
      <w:lang w:eastAsia="es-CR"/>
    </w:rPr>
  </w:style>
  <w:style w:type="paragraph" w:customStyle="1" w:styleId="xl99">
    <w:name w:val="xl99"/>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00">
    <w:name w:val="xl100"/>
    <w:basedOn w:val="Normal"/>
    <w:rsid w:val="00356493"/>
    <w:pPr>
      <w:pBdr>
        <w:left w:val="single" w:sz="8" w:space="0" w:color="auto"/>
        <w:bottom w:val="single" w:sz="8" w:space="0" w:color="auto"/>
        <w:right w:val="single" w:sz="8" w:space="0" w:color="auto"/>
      </w:pBdr>
      <w:shd w:val="clear" w:color="999999" w:fill="96969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01">
    <w:name w:val="xl101"/>
    <w:basedOn w:val="Normal"/>
    <w:rsid w:val="00356493"/>
    <w:pPr>
      <w:pBdr>
        <w:bottom w:val="single" w:sz="8" w:space="0" w:color="auto"/>
        <w:right w:val="single" w:sz="8" w:space="0" w:color="auto"/>
      </w:pBdr>
      <w:shd w:val="clear" w:color="999999" w:fill="969696"/>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102">
    <w:name w:val="xl102"/>
    <w:basedOn w:val="Normal"/>
    <w:rsid w:val="00356493"/>
    <w:pPr>
      <w:shd w:val="clear" w:color="999999" w:fill="96969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03">
    <w:name w:val="xl103"/>
    <w:basedOn w:val="Normal"/>
    <w:rsid w:val="00356493"/>
    <w:pPr>
      <w:pBdr>
        <w:top w:val="single" w:sz="4" w:space="0" w:color="auto"/>
        <w:left w:val="single" w:sz="4" w:space="0" w:color="auto"/>
        <w:bottom w:val="single" w:sz="4" w:space="0" w:color="auto"/>
        <w:right w:val="single" w:sz="4" w:space="0" w:color="auto"/>
      </w:pBdr>
      <w:shd w:val="clear" w:color="999999" w:fill="969696"/>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04">
    <w:name w:val="xl104"/>
    <w:basedOn w:val="Normal"/>
    <w:rsid w:val="00356493"/>
    <w:pPr>
      <w:pBdr>
        <w:bottom w:val="single" w:sz="8" w:space="0" w:color="auto"/>
        <w:right w:val="single" w:sz="8" w:space="0" w:color="auto"/>
      </w:pBdr>
      <w:shd w:val="clear" w:color="999999" w:fill="96969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05">
    <w:name w:val="xl105"/>
    <w:basedOn w:val="Normal"/>
    <w:rsid w:val="00356493"/>
    <w:pPr>
      <w:pBdr>
        <w:left w:val="single" w:sz="8" w:space="0" w:color="auto"/>
        <w:bottom w:val="single" w:sz="8" w:space="0" w:color="auto"/>
        <w:right w:val="single" w:sz="8" w:space="0" w:color="auto"/>
      </w:pBdr>
      <w:shd w:val="clear" w:color="C6EFCE" w:fill="D9D9D9"/>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06">
    <w:name w:val="xl106"/>
    <w:basedOn w:val="Normal"/>
    <w:rsid w:val="00356493"/>
    <w:pPr>
      <w:pBdr>
        <w:bottom w:val="single" w:sz="8" w:space="0" w:color="auto"/>
        <w:right w:val="single" w:sz="8" w:space="0" w:color="auto"/>
      </w:pBdr>
      <w:shd w:val="clear" w:color="C6EFCE" w:fill="D9D9D9"/>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107">
    <w:name w:val="xl107"/>
    <w:basedOn w:val="Normal"/>
    <w:rsid w:val="00356493"/>
    <w:pPr>
      <w:shd w:val="clear" w:color="C6EFCE" w:fill="D9D9D9"/>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08">
    <w:name w:val="xl108"/>
    <w:basedOn w:val="Normal"/>
    <w:rsid w:val="00356493"/>
    <w:pPr>
      <w:pBdr>
        <w:top w:val="single" w:sz="4" w:space="0" w:color="auto"/>
        <w:left w:val="single" w:sz="4" w:space="0" w:color="auto"/>
        <w:bottom w:val="single" w:sz="4" w:space="0" w:color="auto"/>
        <w:right w:val="single" w:sz="4" w:space="0" w:color="auto"/>
      </w:pBdr>
      <w:shd w:val="clear" w:color="C6EFCE" w:fill="D9D9D9"/>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09">
    <w:name w:val="xl109"/>
    <w:basedOn w:val="Normal"/>
    <w:rsid w:val="00356493"/>
    <w:pPr>
      <w:pBdr>
        <w:bottom w:val="single" w:sz="8" w:space="0" w:color="auto"/>
        <w:right w:val="single" w:sz="8" w:space="0" w:color="auto"/>
      </w:pBdr>
      <w:shd w:val="clear" w:color="C6EFCE" w:fill="D9D9D9"/>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10">
    <w:name w:val="xl110"/>
    <w:basedOn w:val="Normal"/>
    <w:rsid w:val="00356493"/>
    <w:pPr>
      <w:pBdr>
        <w:bottom w:val="single" w:sz="8" w:space="0" w:color="auto"/>
        <w:right w:val="single" w:sz="8" w:space="0" w:color="auto"/>
      </w:pBdr>
      <w:shd w:val="clear" w:color="C6EFCE" w:fill="D9D9D9"/>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11">
    <w:name w:val="xl111"/>
    <w:basedOn w:val="Normal"/>
    <w:rsid w:val="00356493"/>
    <w:pP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12">
    <w:name w:val="xl112"/>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13">
    <w:name w:val="xl113"/>
    <w:basedOn w:val="Normal"/>
    <w:rsid w:val="00356493"/>
    <w:pPr>
      <w:pBdr>
        <w:bottom w:val="single" w:sz="8" w:space="0" w:color="auto"/>
        <w:right w:val="single" w:sz="8" w:space="0" w:color="auto"/>
      </w:pBdr>
      <w:shd w:val="clear" w:color="B2B2B2" w:fill="A6A6A6"/>
      <w:spacing w:before="100" w:beforeAutospacing="1" w:after="100" w:afterAutospacing="1" w:line="240" w:lineRule="auto"/>
      <w:jc w:val="center"/>
      <w:textAlignment w:val="center"/>
    </w:pPr>
    <w:rPr>
      <w:rFonts w:eastAsia="Times New Roman" w:cs="Calibri"/>
      <w:color w:val="9C0006"/>
      <w:sz w:val="24"/>
      <w:szCs w:val="24"/>
      <w:lang w:eastAsia="es-CR"/>
    </w:rPr>
  </w:style>
  <w:style w:type="paragraph" w:customStyle="1" w:styleId="xl114">
    <w:name w:val="xl114"/>
    <w:basedOn w:val="Normal"/>
    <w:rsid w:val="00356493"/>
    <w:pPr>
      <w:pBdr>
        <w:bottom w:val="single" w:sz="8" w:space="0" w:color="auto"/>
        <w:right w:val="single" w:sz="8" w:space="0" w:color="auto"/>
      </w:pBdr>
      <w:shd w:val="clear" w:color="BFBFBF" w:fill="C0C0C0"/>
      <w:spacing w:before="100" w:beforeAutospacing="1" w:after="100" w:afterAutospacing="1" w:line="240" w:lineRule="auto"/>
      <w:jc w:val="center"/>
      <w:textAlignment w:val="center"/>
    </w:pPr>
    <w:rPr>
      <w:rFonts w:ascii="Times New Roman" w:eastAsia="Times New Roman" w:hAnsi="Times New Roman"/>
      <w:sz w:val="24"/>
      <w:szCs w:val="24"/>
      <w:lang w:eastAsia="es-CR"/>
    </w:rPr>
  </w:style>
  <w:style w:type="paragraph" w:customStyle="1" w:styleId="xl115">
    <w:name w:val="xl115"/>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16">
    <w:name w:val="xl116"/>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17">
    <w:name w:val="xl117"/>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18">
    <w:name w:val="xl118"/>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19">
    <w:name w:val="xl119"/>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20">
    <w:name w:val="xl120"/>
    <w:basedOn w:val="Normal"/>
    <w:rsid w:val="00356493"/>
    <w:pPr>
      <w:shd w:val="clear" w:color="C0C0C0" w:fill="BFBFB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21">
    <w:name w:val="xl121"/>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eastAsia="Times New Roman" w:cs="Calibri"/>
      <w:color w:val="9C0006"/>
      <w:sz w:val="24"/>
      <w:szCs w:val="24"/>
      <w:lang w:eastAsia="es-CR"/>
    </w:rPr>
  </w:style>
  <w:style w:type="paragraph" w:customStyle="1" w:styleId="xl122">
    <w:name w:val="xl122"/>
    <w:basedOn w:val="Normal"/>
    <w:rsid w:val="00356493"/>
    <w:pPr>
      <w:shd w:val="clear" w:color="BFBFBF" w:fill="C0C0C0"/>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23">
    <w:name w:val="xl123"/>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eastAsia="Times New Roman" w:cs="Calibri"/>
      <w:color w:val="9C0006"/>
      <w:sz w:val="24"/>
      <w:szCs w:val="24"/>
      <w:lang w:eastAsia="es-CR"/>
    </w:rPr>
  </w:style>
  <w:style w:type="paragraph" w:customStyle="1" w:styleId="xl124">
    <w:name w:val="xl124"/>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25">
    <w:name w:val="xl125"/>
    <w:basedOn w:val="Normal"/>
    <w:rsid w:val="00356493"/>
    <w:pPr>
      <w:pBdr>
        <w:top w:val="single" w:sz="4" w:space="0" w:color="auto"/>
        <w:left w:val="single" w:sz="4" w:space="0" w:color="auto"/>
        <w:bottom w:val="single" w:sz="4" w:space="0" w:color="auto"/>
        <w:right w:val="single" w:sz="4" w:space="0" w:color="auto"/>
      </w:pBdr>
      <w:shd w:val="clear" w:color="999999" w:fill="969696"/>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26">
    <w:name w:val="xl126"/>
    <w:basedOn w:val="Normal"/>
    <w:rsid w:val="00356493"/>
    <w:pPr>
      <w:pBdr>
        <w:top w:val="single" w:sz="4" w:space="0" w:color="auto"/>
        <w:left w:val="single" w:sz="4" w:space="0" w:color="auto"/>
        <w:bottom w:val="single" w:sz="4" w:space="0" w:color="auto"/>
        <w:right w:val="single" w:sz="4" w:space="0" w:color="auto"/>
      </w:pBdr>
      <w:shd w:val="clear" w:color="999999" w:fill="969696"/>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27">
    <w:name w:val="xl127"/>
    <w:basedOn w:val="Normal"/>
    <w:rsid w:val="00356493"/>
    <w:pPr>
      <w:pBdr>
        <w:top w:val="single" w:sz="4" w:space="0" w:color="auto"/>
        <w:left w:val="single" w:sz="4" w:space="0" w:color="auto"/>
        <w:bottom w:val="single" w:sz="4" w:space="0" w:color="auto"/>
        <w:right w:val="single" w:sz="4" w:space="0" w:color="auto"/>
      </w:pBdr>
      <w:shd w:val="clear" w:color="999999" w:fill="969696"/>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28">
    <w:name w:val="xl128"/>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29">
    <w:name w:val="xl129"/>
    <w:basedOn w:val="Normal"/>
    <w:rsid w:val="00356493"/>
    <w:pPr>
      <w:pBdr>
        <w:top w:val="single" w:sz="4" w:space="0" w:color="auto"/>
        <w:left w:val="single" w:sz="4" w:space="0" w:color="auto"/>
        <w:bottom w:val="single" w:sz="4" w:space="0" w:color="auto"/>
        <w:right w:val="single" w:sz="4" w:space="0" w:color="auto"/>
      </w:pBdr>
      <w:shd w:val="clear" w:color="808080" w:fill="7F7F7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30">
    <w:name w:val="xl130"/>
    <w:basedOn w:val="Normal"/>
    <w:rsid w:val="00356493"/>
    <w:pPr>
      <w:pBdr>
        <w:top w:val="single" w:sz="4" w:space="0" w:color="auto"/>
        <w:left w:val="single" w:sz="4" w:space="0" w:color="auto"/>
        <w:bottom w:val="single" w:sz="4" w:space="0" w:color="auto"/>
        <w:right w:val="single" w:sz="4" w:space="0" w:color="auto"/>
      </w:pBdr>
      <w:shd w:val="clear" w:color="808080" w:fill="7F7F7F"/>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31">
    <w:name w:val="xl131"/>
    <w:basedOn w:val="Normal"/>
    <w:rsid w:val="00356493"/>
    <w:pPr>
      <w:pBdr>
        <w:top w:val="single" w:sz="4" w:space="0" w:color="auto"/>
        <w:left w:val="single" w:sz="4" w:space="0" w:color="auto"/>
        <w:bottom w:val="single" w:sz="4" w:space="0" w:color="auto"/>
        <w:right w:val="single" w:sz="4" w:space="0" w:color="auto"/>
      </w:pBdr>
      <w:shd w:val="clear" w:color="808080" w:fill="7F7F7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32">
    <w:name w:val="xl132"/>
    <w:basedOn w:val="Normal"/>
    <w:rsid w:val="00356493"/>
    <w:pPr>
      <w:pBdr>
        <w:top w:val="single" w:sz="4" w:space="0" w:color="auto"/>
        <w:left w:val="single" w:sz="4" w:space="0" w:color="auto"/>
        <w:bottom w:val="single" w:sz="4" w:space="0" w:color="auto"/>
        <w:right w:val="single" w:sz="4" w:space="0" w:color="auto"/>
      </w:pBdr>
      <w:shd w:val="clear" w:color="808080" w:fill="7F7F7F"/>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33">
    <w:name w:val="xl133"/>
    <w:basedOn w:val="Normal"/>
    <w:rsid w:val="00356493"/>
    <w:pPr>
      <w:pBdr>
        <w:top w:val="single" w:sz="4" w:space="0" w:color="auto"/>
        <w:left w:val="single" w:sz="4" w:space="0" w:color="auto"/>
        <w:bottom w:val="single" w:sz="4" w:space="0" w:color="auto"/>
        <w:right w:val="single" w:sz="4" w:space="0" w:color="auto"/>
      </w:pBdr>
      <w:shd w:val="clear" w:color="BFBFBF" w:fill="C0C0C0"/>
      <w:spacing w:before="100" w:beforeAutospacing="1" w:after="100" w:afterAutospacing="1" w:line="240" w:lineRule="auto"/>
      <w:jc w:val="center"/>
      <w:textAlignment w:val="center"/>
    </w:pPr>
    <w:rPr>
      <w:rFonts w:eastAsia="Times New Roman" w:cs="Calibri"/>
      <w:sz w:val="20"/>
      <w:szCs w:val="20"/>
      <w:lang w:eastAsia="es-CR"/>
    </w:rPr>
  </w:style>
  <w:style w:type="paragraph" w:customStyle="1" w:styleId="xl134">
    <w:name w:val="xl134"/>
    <w:basedOn w:val="Normal"/>
    <w:rsid w:val="00356493"/>
    <w:pPr>
      <w:pBdr>
        <w:top w:val="single" w:sz="4" w:space="0" w:color="auto"/>
        <w:left w:val="single" w:sz="4" w:space="0" w:color="auto"/>
        <w:bottom w:val="single" w:sz="4" w:space="0" w:color="auto"/>
        <w:right w:val="single" w:sz="4" w:space="0" w:color="auto"/>
      </w:pBdr>
      <w:shd w:val="clear" w:color="999999" w:fill="969696"/>
      <w:spacing w:before="100" w:beforeAutospacing="1" w:after="100" w:afterAutospacing="1" w:line="240" w:lineRule="auto"/>
      <w:jc w:val="center"/>
      <w:textAlignment w:val="center"/>
    </w:pPr>
    <w:rPr>
      <w:rFonts w:ascii="Cambria" w:eastAsia="Times New Roman" w:hAnsi="Cambria"/>
      <w:b/>
      <w:bCs/>
      <w:sz w:val="20"/>
      <w:szCs w:val="20"/>
      <w:lang w:eastAsia="es-CR"/>
    </w:rPr>
  </w:style>
  <w:style w:type="paragraph" w:customStyle="1" w:styleId="xl135">
    <w:name w:val="xl135"/>
    <w:basedOn w:val="Normal"/>
    <w:rsid w:val="00356493"/>
    <w:pPr>
      <w:shd w:val="clear" w:color="C0C0C0" w:fill="BFBFBF"/>
      <w:spacing w:before="100" w:beforeAutospacing="1" w:after="100" w:afterAutospacing="1" w:line="240" w:lineRule="auto"/>
      <w:jc w:val="center"/>
      <w:textAlignment w:val="center"/>
    </w:pPr>
    <w:rPr>
      <w:rFonts w:ascii="Times New Roman" w:eastAsia="Times New Roman" w:hAnsi="Times New Roman"/>
      <w:color w:val="333333"/>
      <w:sz w:val="24"/>
      <w:szCs w:val="24"/>
      <w:lang w:eastAsia="es-CR"/>
    </w:rPr>
  </w:style>
  <w:style w:type="paragraph" w:customStyle="1" w:styleId="xl136">
    <w:name w:val="xl136"/>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37">
    <w:name w:val="xl137"/>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FF0000"/>
      <w:sz w:val="20"/>
      <w:szCs w:val="20"/>
      <w:lang w:eastAsia="es-CR"/>
    </w:rPr>
  </w:style>
  <w:style w:type="paragraph" w:customStyle="1" w:styleId="xl138">
    <w:name w:val="xl138"/>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eastAsia="Times New Roman" w:cs="Calibri"/>
      <w:sz w:val="20"/>
      <w:szCs w:val="20"/>
      <w:lang w:eastAsia="es-CR"/>
    </w:rPr>
  </w:style>
  <w:style w:type="paragraph" w:customStyle="1" w:styleId="xl139">
    <w:name w:val="xl139"/>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40">
    <w:name w:val="xl140"/>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41">
    <w:name w:val="xl141"/>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42">
    <w:name w:val="xl142"/>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43">
    <w:name w:val="xl143"/>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eastAsia="Times New Roman" w:cs="Calibri"/>
      <w:sz w:val="20"/>
      <w:szCs w:val="20"/>
      <w:lang w:eastAsia="es-CR"/>
    </w:rPr>
  </w:style>
  <w:style w:type="paragraph" w:customStyle="1" w:styleId="xl144">
    <w:name w:val="xl144"/>
    <w:basedOn w:val="Normal"/>
    <w:rsid w:val="00356493"/>
    <w:pPr>
      <w:pBdr>
        <w:top w:val="single" w:sz="4" w:space="0" w:color="auto"/>
        <w:left w:val="single" w:sz="4" w:space="0" w:color="auto"/>
        <w:bottom w:val="single" w:sz="4" w:space="0" w:color="auto"/>
        <w:right w:val="single" w:sz="4" w:space="0" w:color="auto"/>
      </w:pBdr>
      <w:shd w:val="clear" w:color="A6A6A6" w:fill="B2B2B2"/>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45">
    <w:name w:val="xl145"/>
    <w:basedOn w:val="Normal"/>
    <w:rsid w:val="00356493"/>
    <w:pPr>
      <w:pBdr>
        <w:top w:val="single" w:sz="4" w:space="0" w:color="auto"/>
        <w:left w:val="single" w:sz="4" w:space="0" w:color="auto"/>
        <w:bottom w:val="single" w:sz="4" w:space="0" w:color="auto"/>
        <w:right w:val="single" w:sz="4" w:space="0" w:color="auto"/>
      </w:pBdr>
      <w:shd w:val="clear" w:color="A6A6A6" w:fill="B2B2B2"/>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46">
    <w:name w:val="xl146"/>
    <w:basedOn w:val="Normal"/>
    <w:rsid w:val="00356493"/>
    <w:pPr>
      <w:pBdr>
        <w:top w:val="single" w:sz="4" w:space="0" w:color="auto"/>
        <w:left w:val="single" w:sz="4" w:space="0" w:color="auto"/>
        <w:bottom w:val="single" w:sz="4" w:space="0" w:color="auto"/>
        <w:right w:val="single" w:sz="4" w:space="0" w:color="auto"/>
      </w:pBdr>
      <w:shd w:val="clear" w:color="A6A6A6" w:fill="B2B2B2"/>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47">
    <w:name w:val="xl147"/>
    <w:basedOn w:val="Normal"/>
    <w:rsid w:val="00356493"/>
    <w:pPr>
      <w:pBdr>
        <w:top w:val="single" w:sz="4" w:space="0" w:color="auto"/>
        <w:left w:val="single" w:sz="4" w:space="0" w:color="auto"/>
        <w:bottom w:val="single" w:sz="4" w:space="0" w:color="auto"/>
        <w:right w:val="single" w:sz="4" w:space="0" w:color="auto"/>
      </w:pBdr>
      <w:shd w:val="clear" w:color="A6A6A6" w:fill="B2B2B2"/>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48">
    <w:name w:val="xl148"/>
    <w:basedOn w:val="Normal"/>
    <w:rsid w:val="00356493"/>
    <w:pPr>
      <w:pBdr>
        <w:top w:val="single" w:sz="4" w:space="0" w:color="auto"/>
        <w:left w:val="single" w:sz="4" w:space="0" w:color="auto"/>
        <w:bottom w:val="single" w:sz="4" w:space="0" w:color="auto"/>
        <w:right w:val="single" w:sz="4" w:space="0" w:color="auto"/>
      </w:pBdr>
      <w:shd w:val="clear" w:color="A6A6A6" w:fill="B2B2B2"/>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49">
    <w:name w:val="xl149"/>
    <w:basedOn w:val="Normal"/>
    <w:rsid w:val="00356493"/>
    <w:pPr>
      <w:pBdr>
        <w:top w:val="single" w:sz="4" w:space="0" w:color="auto"/>
        <w:left w:val="single" w:sz="4" w:space="0" w:color="auto"/>
        <w:bottom w:val="single" w:sz="4" w:space="0" w:color="auto"/>
        <w:right w:val="single" w:sz="4" w:space="0" w:color="auto"/>
      </w:pBdr>
      <w:shd w:val="clear" w:color="969696" w:fill="999999"/>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50">
    <w:name w:val="xl150"/>
    <w:basedOn w:val="Normal"/>
    <w:rsid w:val="00356493"/>
    <w:pPr>
      <w:pBdr>
        <w:top w:val="single" w:sz="4" w:space="0" w:color="auto"/>
        <w:left w:val="single" w:sz="4" w:space="0" w:color="auto"/>
        <w:bottom w:val="single" w:sz="4" w:space="0" w:color="auto"/>
        <w:right w:val="single" w:sz="4" w:space="0" w:color="auto"/>
      </w:pBdr>
      <w:shd w:val="clear" w:color="969696" w:fill="999999"/>
      <w:spacing w:before="100" w:beforeAutospacing="1" w:after="100" w:afterAutospacing="1" w:line="240" w:lineRule="auto"/>
      <w:jc w:val="both"/>
      <w:textAlignment w:val="top"/>
    </w:pPr>
    <w:rPr>
      <w:rFonts w:ascii="Cambria" w:eastAsia="Times New Roman" w:hAnsi="Cambria"/>
      <w:sz w:val="20"/>
      <w:szCs w:val="20"/>
      <w:lang w:eastAsia="es-CR"/>
    </w:rPr>
  </w:style>
  <w:style w:type="paragraph" w:customStyle="1" w:styleId="xl151">
    <w:name w:val="xl151"/>
    <w:basedOn w:val="Normal"/>
    <w:rsid w:val="00356493"/>
    <w:pPr>
      <w:pBdr>
        <w:top w:val="single" w:sz="4" w:space="0" w:color="auto"/>
        <w:left w:val="single" w:sz="4" w:space="0" w:color="auto"/>
        <w:bottom w:val="single" w:sz="4" w:space="0" w:color="auto"/>
        <w:right w:val="single" w:sz="4" w:space="0" w:color="auto"/>
      </w:pBdr>
      <w:shd w:val="clear" w:color="969696" w:fill="999999"/>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52">
    <w:name w:val="xl152"/>
    <w:basedOn w:val="Normal"/>
    <w:rsid w:val="00356493"/>
    <w:pPr>
      <w:pBdr>
        <w:top w:val="single" w:sz="4" w:space="0" w:color="auto"/>
        <w:left w:val="single" w:sz="4" w:space="0" w:color="auto"/>
        <w:bottom w:val="single" w:sz="4" w:space="0" w:color="auto"/>
        <w:right w:val="single" w:sz="4" w:space="0" w:color="auto"/>
      </w:pBdr>
      <w:shd w:val="clear" w:color="969696" w:fill="999999"/>
      <w:spacing w:before="100" w:beforeAutospacing="1" w:after="100" w:afterAutospacing="1" w:line="240" w:lineRule="auto"/>
      <w:jc w:val="center"/>
      <w:textAlignment w:val="center"/>
    </w:pPr>
    <w:rPr>
      <w:rFonts w:ascii="Cambria" w:eastAsia="Times New Roman" w:hAnsi="Cambria"/>
      <w:sz w:val="20"/>
      <w:szCs w:val="20"/>
      <w:lang w:eastAsia="es-CR"/>
    </w:rPr>
  </w:style>
  <w:style w:type="paragraph" w:customStyle="1" w:styleId="xl153">
    <w:name w:val="xl153"/>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54">
    <w:name w:val="xl154"/>
    <w:basedOn w:val="Normal"/>
    <w:rsid w:val="00356493"/>
    <w:pPr>
      <w:pBdr>
        <w:top w:val="single" w:sz="4" w:space="0" w:color="auto"/>
        <w:left w:val="single" w:sz="4" w:space="0" w:color="auto"/>
        <w:bottom w:val="single" w:sz="4" w:space="0" w:color="auto"/>
        <w:right w:val="single" w:sz="4" w:space="0" w:color="auto"/>
      </w:pBdr>
      <w:shd w:val="clear" w:color="A6A6A6" w:fill="B2B2B2"/>
      <w:spacing w:before="100" w:beforeAutospacing="1" w:after="100" w:afterAutospacing="1" w:line="240" w:lineRule="auto"/>
      <w:jc w:val="center"/>
      <w:textAlignment w:val="center"/>
    </w:pPr>
    <w:rPr>
      <w:rFonts w:eastAsia="Times New Roman" w:cs="Calibri"/>
      <w:sz w:val="20"/>
      <w:szCs w:val="20"/>
      <w:lang w:eastAsia="es-CR"/>
    </w:rPr>
  </w:style>
  <w:style w:type="paragraph" w:customStyle="1" w:styleId="xl155">
    <w:name w:val="xl155"/>
    <w:basedOn w:val="Normal"/>
    <w:rsid w:val="00356493"/>
    <w:pPr>
      <w:pBdr>
        <w:top w:val="single" w:sz="4" w:space="0" w:color="auto"/>
        <w:left w:val="single" w:sz="4" w:space="0" w:color="auto"/>
        <w:bottom w:val="single" w:sz="4" w:space="0" w:color="auto"/>
        <w:right w:val="single" w:sz="4" w:space="0" w:color="auto"/>
      </w:pBdr>
      <w:shd w:val="clear" w:color="969696" w:fill="999999"/>
      <w:spacing w:before="100" w:beforeAutospacing="1" w:after="100" w:afterAutospacing="1" w:line="240" w:lineRule="auto"/>
      <w:jc w:val="center"/>
      <w:textAlignment w:val="center"/>
    </w:pPr>
    <w:rPr>
      <w:rFonts w:eastAsia="Times New Roman" w:cs="Calibri"/>
      <w:sz w:val="24"/>
      <w:szCs w:val="24"/>
      <w:lang w:eastAsia="es-CR"/>
    </w:rPr>
  </w:style>
  <w:style w:type="paragraph" w:customStyle="1" w:styleId="xl156">
    <w:name w:val="xl156"/>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eastAsia="Times New Roman" w:cs="Calibri"/>
      <w:color w:val="9C0006"/>
      <w:sz w:val="24"/>
      <w:szCs w:val="24"/>
      <w:lang w:eastAsia="es-CR"/>
    </w:rPr>
  </w:style>
  <w:style w:type="paragraph" w:customStyle="1" w:styleId="xl157">
    <w:name w:val="xl157"/>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58">
    <w:name w:val="xl158"/>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159">
    <w:name w:val="xl159"/>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60">
    <w:name w:val="xl160"/>
    <w:basedOn w:val="Normal"/>
    <w:rsid w:val="00356493"/>
    <w:pPr>
      <w:pBdr>
        <w:top w:val="single" w:sz="4" w:space="0" w:color="auto"/>
        <w:left w:val="single" w:sz="4" w:space="0" w:color="auto"/>
        <w:bottom w:val="single" w:sz="4" w:space="0" w:color="auto"/>
        <w:right w:val="single" w:sz="4" w:space="0" w:color="auto"/>
      </w:pBdr>
      <w:shd w:val="clear" w:color="B2B2B2" w:fill="A6A6A6"/>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61">
    <w:name w:val="xl161"/>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62">
    <w:name w:val="xl162"/>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both"/>
      <w:textAlignment w:val="top"/>
    </w:pPr>
    <w:rPr>
      <w:rFonts w:ascii="Cambria" w:eastAsia="Times New Roman" w:hAnsi="Cambria"/>
      <w:color w:val="000000"/>
      <w:sz w:val="20"/>
      <w:szCs w:val="20"/>
      <w:lang w:eastAsia="es-CR"/>
    </w:rPr>
  </w:style>
  <w:style w:type="paragraph" w:customStyle="1" w:styleId="xl163">
    <w:name w:val="xl163"/>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64">
    <w:name w:val="xl164"/>
    <w:basedOn w:val="Normal"/>
    <w:rsid w:val="00356493"/>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Cambria" w:eastAsia="Times New Roman" w:hAnsi="Cambria"/>
      <w:color w:val="000000"/>
      <w:sz w:val="20"/>
      <w:szCs w:val="20"/>
      <w:lang w:eastAsia="es-CR"/>
    </w:rPr>
  </w:style>
  <w:style w:type="paragraph" w:customStyle="1" w:styleId="xl165">
    <w:name w:val="xl165"/>
    <w:basedOn w:val="Normal"/>
    <w:rsid w:val="00356493"/>
    <w:pPr>
      <w:shd w:val="clear" w:color="404040" w:fill="333399"/>
      <w:spacing w:before="100" w:beforeAutospacing="1" w:after="100" w:afterAutospacing="1" w:line="240" w:lineRule="auto"/>
      <w:jc w:val="center"/>
      <w:textAlignment w:val="center"/>
    </w:pPr>
    <w:rPr>
      <w:rFonts w:ascii="Cambria" w:eastAsia="Times New Roman" w:hAnsi="Cambria"/>
      <w:b/>
      <w:bCs/>
      <w:color w:val="FFFFFF"/>
      <w:sz w:val="28"/>
      <w:szCs w:val="28"/>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66461">
      <w:bodyDiv w:val="1"/>
      <w:marLeft w:val="0"/>
      <w:marRight w:val="0"/>
      <w:marTop w:val="0"/>
      <w:marBottom w:val="0"/>
      <w:divBdr>
        <w:top w:val="none" w:sz="0" w:space="0" w:color="auto"/>
        <w:left w:val="none" w:sz="0" w:space="0" w:color="auto"/>
        <w:bottom w:val="none" w:sz="0" w:space="0" w:color="auto"/>
        <w:right w:val="none" w:sz="0" w:space="0" w:color="auto"/>
      </w:divBdr>
    </w:div>
    <w:div w:id="78789937">
      <w:bodyDiv w:val="1"/>
      <w:marLeft w:val="0"/>
      <w:marRight w:val="0"/>
      <w:marTop w:val="0"/>
      <w:marBottom w:val="0"/>
      <w:divBdr>
        <w:top w:val="none" w:sz="0" w:space="0" w:color="auto"/>
        <w:left w:val="none" w:sz="0" w:space="0" w:color="auto"/>
        <w:bottom w:val="none" w:sz="0" w:space="0" w:color="auto"/>
        <w:right w:val="none" w:sz="0" w:space="0" w:color="auto"/>
      </w:divBdr>
    </w:div>
    <w:div w:id="140463904">
      <w:bodyDiv w:val="1"/>
      <w:marLeft w:val="0"/>
      <w:marRight w:val="0"/>
      <w:marTop w:val="0"/>
      <w:marBottom w:val="0"/>
      <w:divBdr>
        <w:top w:val="none" w:sz="0" w:space="0" w:color="auto"/>
        <w:left w:val="none" w:sz="0" w:space="0" w:color="auto"/>
        <w:bottom w:val="none" w:sz="0" w:space="0" w:color="auto"/>
        <w:right w:val="none" w:sz="0" w:space="0" w:color="auto"/>
      </w:divBdr>
    </w:div>
    <w:div w:id="153570038">
      <w:bodyDiv w:val="1"/>
      <w:marLeft w:val="0"/>
      <w:marRight w:val="0"/>
      <w:marTop w:val="0"/>
      <w:marBottom w:val="0"/>
      <w:divBdr>
        <w:top w:val="none" w:sz="0" w:space="0" w:color="auto"/>
        <w:left w:val="none" w:sz="0" w:space="0" w:color="auto"/>
        <w:bottom w:val="none" w:sz="0" w:space="0" w:color="auto"/>
        <w:right w:val="none" w:sz="0" w:space="0" w:color="auto"/>
      </w:divBdr>
      <w:divsChild>
        <w:div w:id="989212165">
          <w:marLeft w:val="0"/>
          <w:marRight w:val="0"/>
          <w:marTop w:val="0"/>
          <w:marBottom w:val="0"/>
          <w:divBdr>
            <w:top w:val="none" w:sz="0" w:space="0" w:color="auto"/>
            <w:left w:val="none" w:sz="0" w:space="0" w:color="auto"/>
            <w:bottom w:val="none" w:sz="0" w:space="0" w:color="auto"/>
            <w:right w:val="none" w:sz="0" w:space="0" w:color="auto"/>
          </w:divBdr>
          <w:divsChild>
            <w:div w:id="71202315">
              <w:marLeft w:val="0"/>
              <w:marRight w:val="0"/>
              <w:marTop w:val="0"/>
              <w:marBottom w:val="0"/>
              <w:divBdr>
                <w:top w:val="none" w:sz="0" w:space="0" w:color="auto"/>
                <w:left w:val="none" w:sz="0" w:space="0" w:color="auto"/>
                <w:bottom w:val="none" w:sz="0" w:space="0" w:color="auto"/>
                <w:right w:val="none" w:sz="0" w:space="0" w:color="auto"/>
              </w:divBdr>
              <w:divsChild>
                <w:div w:id="1977104775">
                  <w:marLeft w:val="0"/>
                  <w:marRight w:val="0"/>
                  <w:marTop w:val="0"/>
                  <w:marBottom w:val="0"/>
                  <w:divBdr>
                    <w:top w:val="none" w:sz="0" w:space="0" w:color="auto"/>
                    <w:left w:val="none" w:sz="0" w:space="0" w:color="auto"/>
                    <w:bottom w:val="none" w:sz="0" w:space="0" w:color="auto"/>
                    <w:right w:val="none" w:sz="0" w:space="0" w:color="auto"/>
                  </w:divBdr>
                  <w:divsChild>
                    <w:div w:id="21055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98046">
      <w:bodyDiv w:val="1"/>
      <w:marLeft w:val="0"/>
      <w:marRight w:val="0"/>
      <w:marTop w:val="0"/>
      <w:marBottom w:val="0"/>
      <w:divBdr>
        <w:top w:val="none" w:sz="0" w:space="0" w:color="auto"/>
        <w:left w:val="none" w:sz="0" w:space="0" w:color="auto"/>
        <w:bottom w:val="none" w:sz="0" w:space="0" w:color="auto"/>
        <w:right w:val="none" w:sz="0" w:space="0" w:color="auto"/>
      </w:divBdr>
    </w:div>
    <w:div w:id="215244720">
      <w:bodyDiv w:val="1"/>
      <w:marLeft w:val="0"/>
      <w:marRight w:val="0"/>
      <w:marTop w:val="0"/>
      <w:marBottom w:val="0"/>
      <w:divBdr>
        <w:top w:val="none" w:sz="0" w:space="0" w:color="auto"/>
        <w:left w:val="none" w:sz="0" w:space="0" w:color="auto"/>
        <w:bottom w:val="none" w:sz="0" w:space="0" w:color="auto"/>
        <w:right w:val="none" w:sz="0" w:space="0" w:color="auto"/>
      </w:divBdr>
    </w:div>
    <w:div w:id="237206953">
      <w:bodyDiv w:val="1"/>
      <w:marLeft w:val="0"/>
      <w:marRight w:val="0"/>
      <w:marTop w:val="0"/>
      <w:marBottom w:val="0"/>
      <w:divBdr>
        <w:top w:val="none" w:sz="0" w:space="0" w:color="auto"/>
        <w:left w:val="none" w:sz="0" w:space="0" w:color="auto"/>
        <w:bottom w:val="none" w:sz="0" w:space="0" w:color="auto"/>
        <w:right w:val="none" w:sz="0" w:space="0" w:color="auto"/>
      </w:divBdr>
    </w:div>
    <w:div w:id="318850781">
      <w:bodyDiv w:val="1"/>
      <w:marLeft w:val="0"/>
      <w:marRight w:val="0"/>
      <w:marTop w:val="0"/>
      <w:marBottom w:val="0"/>
      <w:divBdr>
        <w:top w:val="none" w:sz="0" w:space="0" w:color="auto"/>
        <w:left w:val="none" w:sz="0" w:space="0" w:color="auto"/>
        <w:bottom w:val="none" w:sz="0" w:space="0" w:color="auto"/>
        <w:right w:val="none" w:sz="0" w:space="0" w:color="auto"/>
      </w:divBdr>
    </w:div>
    <w:div w:id="402265708">
      <w:bodyDiv w:val="1"/>
      <w:marLeft w:val="0"/>
      <w:marRight w:val="0"/>
      <w:marTop w:val="0"/>
      <w:marBottom w:val="0"/>
      <w:divBdr>
        <w:top w:val="none" w:sz="0" w:space="0" w:color="auto"/>
        <w:left w:val="none" w:sz="0" w:space="0" w:color="auto"/>
        <w:bottom w:val="none" w:sz="0" w:space="0" w:color="auto"/>
        <w:right w:val="none" w:sz="0" w:space="0" w:color="auto"/>
      </w:divBdr>
    </w:div>
    <w:div w:id="412287964">
      <w:bodyDiv w:val="1"/>
      <w:marLeft w:val="0"/>
      <w:marRight w:val="0"/>
      <w:marTop w:val="0"/>
      <w:marBottom w:val="0"/>
      <w:divBdr>
        <w:top w:val="none" w:sz="0" w:space="0" w:color="auto"/>
        <w:left w:val="none" w:sz="0" w:space="0" w:color="auto"/>
        <w:bottom w:val="none" w:sz="0" w:space="0" w:color="auto"/>
        <w:right w:val="none" w:sz="0" w:space="0" w:color="auto"/>
      </w:divBdr>
    </w:div>
    <w:div w:id="449055225">
      <w:bodyDiv w:val="1"/>
      <w:marLeft w:val="0"/>
      <w:marRight w:val="0"/>
      <w:marTop w:val="0"/>
      <w:marBottom w:val="0"/>
      <w:divBdr>
        <w:top w:val="none" w:sz="0" w:space="0" w:color="auto"/>
        <w:left w:val="none" w:sz="0" w:space="0" w:color="auto"/>
        <w:bottom w:val="none" w:sz="0" w:space="0" w:color="auto"/>
        <w:right w:val="none" w:sz="0" w:space="0" w:color="auto"/>
      </w:divBdr>
    </w:div>
    <w:div w:id="456605098">
      <w:bodyDiv w:val="1"/>
      <w:marLeft w:val="0"/>
      <w:marRight w:val="0"/>
      <w:marTop w:val="0"/>
      <w:marBottom w:val="0"/>
      <w:divBdr>
        <w:top w:val="none" w:sz="0" w:space="0" w:color="auto"/>
        <w:left w:val="none" w:sz="0" w:space="0" w:color="auto"/>
        <w:bottom w:val="none" w:sz="0" w:space="0" w:color="auto"/>
        <w:right w:val="none" w:sz="0" w:space="0" w:color="auto"/>
      </w:divBdr>
    </w:div>
    <w:div w:id="517961877">
      <w:bodyDiv w:val="1"/>
      <w:marLeft w:val="0"/>
      <w:marRight w:val="0"/>
      <w:marTop w:val="0"/>
      <w:marBottom w:val="0"/>
      <w:divBdr>
        <w:top w:val="none" w:sz="0" w:space="0" w:color="auto"/>
        <w:left w:val="none" w:sz="0" w:space="0" w:color="auto"/>
        <w:bottom w:val="none" w:sz="0" w:space="0" w:color="auto"/>
        <w:right w:val="none" w:sz="0" w:space="0" w:color="auto"/>
      </w:divBdr>
    </w:div>
    <w:div w:id="548348448">
      <w:bodyDiv w:val="1"/>
      <w:marLeft w:val="0"/>
      <w:marRight w:val="0"/>
      <w:marTop w:val="0"/>
      <w:marBottom w:val="0"/>
      <w:divBdr>
        <w:top w:val="none" w:sz="0" w:space="0" w:color="auto"/>
        <w:left w:val="none" w:sz="0" w:space="0" w:color="auto"/>
        <w:bottom w:val="none" w:sz="0" w:space="0" w:color="auto"/>
        <w:right w:val="none" w:sz="0" w:space="0" w:color="auto"/>
      </w:divBdr>
      <w:divsChild>
        <w:div w:id="215430773">
          <w:marLeft w:val="0"/>
          <w:marRight w:val="0"/>
          <w:marTop w:val="0"/>
          <w:marBottom w:val="0"/>
          <w:divBdr>
            <w:top w:val="none" w:sz="0" w:space="0" w:color="auto"/>
            <w:left w:val="none" w:sz="0" w:space="0" w:color="auto"/>
            <w:bottom w:val="none" w:sz="0" w:space="0" w:color="auto"/>
            <w:right w:val="none" w:sz="0" w:space="0" w:color="auto"/>
          </w:divBdr>
        </w:div>
        <w:div w:id="377358229">
          <w:marLeft w:val="0"/>
          <w:marRight w:val="0"/>
          <w:marTop w:val="0"/>
          <w:marBottom w:val="0"/>
          <w:divBdr>
            <w:top w:val="none" w:sz="0" w:space="0" w:color="auto"/>
            <w:left w:val="none" w:sz="0" w:space="0" w:color="auto"/>
            <w:bottom w:val="none" w:sz="0" w:space="0" w:color="auto"/>
            <w:right w:val="none" w:sz="0" w:space="0" w:color="auto"/>
          </w:divBdr>
        </w:div>
        <w:div w:id="878586455">
          <w:marLeft w:val="0"/>
          <w:marRight w:val="0"/>
          <w:marTop w:val="0"/>
          <w:marBottom w:val="0"/>
          <w:divBdr>
            <w:top w:val="none" w:sz="0" w:space="0" w:color="auto"/>
            <w:left w:val="none" w:sz="0" w:space="0" w:color="auto"/>
            <w:bottom w:val="none" w:sz="0" w:space="0" w:color="auto"/>
            <w:right w:val="none" w:sz="0" w:space="0" w:color="auto"/>
          </w:divBdr>
        </w:div>
        <w:div w:id="1052390551">
          <w:marLeft w:val="0"/>
          <w:marRight w:val="0"/>
          <w:marTop w:val="0"/>
          <w:marBottom w:val="0"/>
          <w:divBdr>
            <w:top w:val="none" w:sz="0" w:space="0" w:color="auto"/>
            <w:left w:val="none" w:sz="0" w:space="0" w:color="auto"/>
            <w:bottom w:val="none" w:sz="0" w:space="0" w:color="auto"/>
            <w:right w:val="none" w:sz="0" w:space="0" w:color="auto"/>
          </w:divBdr>
        </w:div>
        <w:div w:id="1057826806">
          <w:marLeft w:val="0"/>
          <w:marRight w:val="0"/>
          <w:marTop w:val="0"/>
          <w:marBottom w:val="0"/>
          <w:divBdr>
            <w:top w:val="none" w:sz="0" w:space="0" w:color="auto"/>
            <w:left w:val="none" w:sz="0" w:space="0" w:color="auto"/>
            <w:bottom w:val="none" w:sz="0" w:space="0" w:color="auto"/>
            <w:right w:val="none" w:sz="0" w:space="0" w:color="auto"/>
          </w:divBdr>
        </w:div>
        <w:div w:id="1531843927">
          <w:marLeft w:val="0"/>
          <w:marRight w:val="0"/>
          <w:marTop w:val="0"/>
          <w:marBottom w:val="0"/>
          <w:divBdr>
            <w:top w:val="none" w:sz="0" w:space="0" w:color="auto"/>
            <w:left w:val="none" w:sz="0" w:space="0" w:color="auto"/>
            <w:bottom w:val="none" w:sz="0" w:space="0" w:color="auto"/>
            <w:right w:val="none" w:sz="0" w:space="0" w:color="auto"/>
          </w:divBdr>
        </w:div>
        <w:div w:id="2002808604">
          <w:marLeft w:val="0"/>
          <w:marRight w:val="0"/>
          <w:marTop w:val="0"/>
          <w:marBottom w:val="0"/>
          <w:divBdr>
            <w:top w:val="none" w:sz="0" w:space="0" w:color="auto"/>
            <w:left w:val="none" w:sz="0" w:space="0" w:color="auto"/>
            <w:bottom w:val="none" w:sz="0" w:space="0" w:color="auto"/>
            <w:right w:val="none" w:sz="0" w:space="0" w:color="auto"/>
          </w:divBdr>
        </w:div>
        <w:div w:id="2038460451">
          <w:marLeft w:val="0"/>
          <w:marRight w:val="0"/>
          <w:marTop w:val="0"/>
          <w:marBottom w:val="0"/>
          <w:divBdr>
            <w:top w:val="none" w:sz="0" w:space="0" w:color="auto"/>
            <w:left w:val="none" w:sz="0" w:space="0" w:color="auto"/>
            <w:bottom w:val="none" w:sz="0" w:space="0" w:color="auto"/>
            <w:right w:val="none" w:sz="0" w:space="0" w:color="auto"/>
          </w:divBdr>
        </w:div>
      </w:divsChild>
    </w:div>
    <w:div w:id="606426603">
      <w:bodyDiv w:val="1"/>
      <w:marLeft w:val="0"/>
      <w:marRight w:val="0"/>
      <w:marTop w:val="0"/>
      <w:marBottom w:val="0"/>
      <w:divBdr>
        <w:top w:val="none" w:sz="0" w:space="0" w:color="auto"/>
        <w:left w:val="none" w:sz="0" w:space="0" w:color="auto"/>
        <w:bottom w:val="none" w:sz="0" w:space="0" w:color="auto"/>
        <w:right w:val="none" w:sz="0" w:space="0" w:color="auto"/>
      </w:divBdr>
    </w:div>
    <w:div w:id="640118631">
      <w:bodyDiv w:val="1"/>
      <w:marLeft w:val="0"/>
      <w:marRight w:val="0"/>
      <w:marTop w:val="0"/>
      <w:marBottom w:val="0"/>
      <w:divBdr>
        <w:top w:val="none" w:sz="0" w:space="0" w:color="auto"/>
        <w:left w:val="none" w:sz="0" w:space="0" w:color="auto"/>
        <w:bottom w:val="none" w:sz="0" w:space="0" w:color="auto"/>
        <w:right w:val="none" w:sz="0" w:space="0" w:color="auto"/>
      </w:divBdr>
    </w:div>
    <w:div w:id="646862118">
      <w:bodyDiv w:val="1"/>
      <w:marLeft w:val="0"/>
      <w:marRight w:val="0"/>
      <w:marTop w:val="0"/>
      <w:marBottom w:val="0"/>
      <w:divBdr>
        <w:top w:val="none" w:sz="0" w:space="0" w:color="auto"/>
        <w:left w:val="none" w:sz="0" w:space="0" w:color="auto"/>
        <w:bottom w:val="none" w:sz="0" w:space="0" w:color="auto"/>
        <w:right w:val="none" w:sz="0" w:space="0" w:color="auto"/>
      </w:divBdr>
    </w:div>
    <w:div w:id="771360723">
      <w:bodyDiv w:val="1"/>
      <w:marLeft w:val="0"/>
      <w:marRight w:val="0"/>
      <w:marTop w:val="0"/>
      <w:marBottom w:val="0"/>
      <w:divBdr>
        <w:top w:val="none" w:sz="0" w:space="0" w:color="auto"/>
        <w:left w:val="none" w:sz="0" w:space="0" w:color="auto"/>
        <w:bottom w:val="none" w:sz="0" w:space="0" w:color="auto"/>
        <w:right w:val="none" w:sz="0" w:space="0" w:color="auto"/>
      </w:divBdr>
    </w:div>
    <w:div w:id="813915450">
      <w:bodyDiv w:val="1"/>
      <w:marLeft w:val="0"/>
      <w:marRight w:val="0"/>
      <w:marTop w:val="0"/>
      <w:marBottom w:val="0"/>
      <w:divBdr>
        <w:top w:val="none" w:sz="0" w:space="0" w:color="auto"/>
        <w:left w:val="none" w:sz="0" w:space="0" w:color="auto"/>
        <w:bottom w:val="none" w:sz="0" w:space="0" w:color="auto"/>
        <w:right w:val="none" w:sz="0" w:space="0" w:color="auto"/>
      </w:divBdr>
    </w:div>
    <w:div w:id="851649585">
      <w:bodyDiv w:val="1"/>
      <w:marLeft w:val="0"/>
      <w:marRight w:val="0"/>
      <w:marTop w:val="0"/>
      <w:marBottom w:val="0"/>
      <w:divBdr>
        <w:top w:val="none" w:sz="0" w:space="0" w:color="auto"/>
        <w:left w:val="none" w:sz="0" w:space="0" w:color="auto"/>
        <w:bottom w:val="none" w:sz="0" w:space="0" w:color="auto"/>
        <w:right w:val="none" w:sz="0" w:space="0" w:color="auto"/>
      </w:divBdr>
    </w:div>
    <w:div w:id="875309296">
      <w:bodyDiv w:val="1"/>
      <w:marLeft w:val="0"/>
      <w:marRight w:val="0"/>
      <w:marTop w:val="0"/>
      <w:marBottom w:val="0"/>
      <w:divBdr>
        <w:top w:val="none" w:sz="0" w:space="0" w:color="auto"/>
        <w:left w:val="none" w:sz="0" w:space="0" w:color="auto"/>
        <w:bottom w:val="none" w:sz="0" w:space="0" w:color="auto"/>
        <w:right w:val="none" w:sz="0" w:space="0" w:color="auto"/>
      </w:divBdr>
    </w:div>
    <w:div w:id="878207975">
      <w:bodyDiv w:val="1"/>
      <w:marLeft w:val="0"/>
      <w:marRight w:val="0"/>
      <w:marTop w:val="0"/>
      <w:marBottom w:val="0"/>
      <w:divBdr>
        <w:top w:val="none" w:sz="0" w:space="0" w:color="auto"/>
        <w:left w:val="none" w:sz="0" w:space="0" w:color="auto"/>
        <w:bottom w:val="none" w:sz="0" w:space="0" w:color="auto"/>
        <w:right w:val="none" w:sz="0" w:space="0" w:color="auto"/>
      </w:divBdr>
    </w:div>
    <w:div w:id="892691553">
      <w:bodyDiv w:val="1"/>
      <w:marLeft w:val="0"/>
      <w:marRight w:val="0"/>
      <w:marTop w:val="0"/>
      <w:marBottom w:val="0"/>
      <w:divBdr>
        <w:top w:val="none" w:sz="0" w:space="0" w:color="auto"/>
        <w:left w:val="none" w:sz="0" w:space="0" w:color="auto"/>
        <w:bottom w:val="none" w:sz="0" w:space="0" w:color="auto"/>
        <w:right w:val="none" w:sz="0" w:space="0" w:color="auto"/>
      </w:divBdr>
    </w:div>
    <w:div w:id="1039470376">
      <w:bodyDiv w:val="1"/>
      <w:marLeft w:val="0"/>
      <w:marRight w:val="0"/>
      <w:marTop w:val="0"/>
      <w:marBottom w:val="0"/>
      <w:divBdr>
        <w:top w:val="none" w:sz="0" w:space="0" w:color="auto"/>
        <w:left w:val="none" w:sz="0" w:space="0" w:color="auto"/>
        <w:bottom w:val="none" w:sz="0" w:space="0" w:color="auto"/>
        <w:right w:val="none" w:sz="0" w:space="0" w:color="auto"/>
      </w:divBdr>
    </w:div>
    <w:div w:id="1100951969">
      <w:bodyDiv w:val="1"/>
      <w:marLeft w:val="0"/>
      <w:marRight w:val="0"/>
      <w:marTop w:val="0"/>
      <w:marBottom w:val="0"/>
      <w:divBdr>
        <w:top w:val="none" w:sz="0" w:space="0" w:color="auto"/>
        <w:left w:val="none" w:sz="0" w:space="0" w:color="auto"/>
        <w:bottom w:val="none" w:sz="0" w:space="0" w:color="auto"/>
        <w:right w:val="none" w:sz="0" w:space="0" w:color="auto"/>
      </w:divBdr>
    </w:div>
    <w:div w:id="1138571852">
      <w:bodyDiv w:val="1"/>
      <w:marLeft w:val="0"/>
      <w:marRight w:val="0"/>
      <w:marTop w:val="0"/>
      <w:marBottom w:val="0"/>
      <w:divBdr>
        <w:top w:val="none" w:sz="0" w:space="0" w:color="auto"/>
        <w:left w:val="none" w:sz="0" w:space="0" w:color="auto"/>
        <w:bottom w:val="none" w:sz="0" w:space="0" w:color="auto"/>
        <w:right w:val="none" w:sz="0" w:space="0" w:color="auto"/>
      </w:divBdr>
    </w:div>
    <w:div w:id="1159614273">
      <w:bodyDiv w:val="1"/>
      <w:marLeft w:val="0"/>
      <w:marRight w:val="0"/>
      <w:marTop w:val="0"/>
      <w:marBottom w:val="0"/>
      <w:divBdr>
        <w:top w:val="none" w:sz="0" w:space="0" w:color="auto"/>
        <w:left w:val="none" w:sz="0" w:space="0" w:color="auto"/>
        <w:bottom w:val="none" w:sz="0" w:space="0" w:color="auto"/>
        <w:right w:val="none" w:sz="0" w:space="0" w:color="auto"/>
      </w:divBdr>
    </w:div>
    <w:div w:id="1166549887">
      <w:bodyDiv w:val="1"/>
      <w:marLeft w:val="0"/>
      <w:marRight w:val="0"/>
      <w:marTop w:val="0"/>
      <w:marBottom w:val="0"/>
      <w:divBdr>
        <w:top w:val="none" w:sz="0" w:space="0" w:color="auto"/>
        <w:left w:val="none" w:sz="0" w:space="0" w:color="auto"/>
        <w:bottom w:val="none" w:sz="0" w:space="0" w:color="auto"/>
        <w:right w:val="none" w:sz="0" w:space="0" w:color="auto"/>
      </w:divBdr>
    </w:div>
    <w:div w:id="1167600542">
      <w:bodyDiv w:val="1"/>
      <w:marLeft w:val="0"/>
      <w:marRight w:val="0"/>
      <w:marTop w:val="0"/>
      <w:marBottom w:val="0"/>
      <w:divBdr>
        <w:top w:val="none" w:sz="0" w:space="0" w:color="auto"/>
        <w:left w:val="none" w:sz="0" w:space="0" w:color="auto"/>
        <w:bottom w:val="none" w:sz="0" w:space="0" w:color="auto"/>
        <w:right w:val="none" w:sz="0" w:space="0" w:color="auto"/>
      </w:divBdr>
    </w:div>
    <w:div w:id="1203905011">
      <w:bodyDiv w:val="1"/>
      <w:marLeft w:val="0"/>
      <w:marRight w:val="0"/>
      <w:marTop w:val="0"/>
      <w:marBottom w:val="0"/>
      <w:divBdr>
        <w:top w:val="none" w:sz="0" w:space="0" w:color="auto"/>
        <w:left w:val="none" w:sz="0" w:space="0" w:color="auto"/>
        <w:bottom w:val="none" w:sz="0" w:space="0" w:color="auto"/>
        <w:right w:val="none" w:sz="0" w:space="0" w:color="auto"/>
      </w:divBdr>
    </w:div>
    <w:div w:id="1262301033">
      <w:bodyDiv w:val="1"/>
      <w:marLeft w:val="0"/>
      <w:marRight w:val="0"/>
      <w:marTop w:val="0"/>
      <w:marBottom w:val="0"/>
      <w:divBdr>
        <w:top w:val="none" w:sz="0" w:space="0" w:color="auto"/>
        <w:left w:val="none" w:sz="0" w:space="0" w:color="auto"/>
        <w:bottom w:val="none" w:sz="0" w:space="0" w:color="auto"/>
        <w:right w:val="none" w:sz="0" w:space="0" w:color="auto"/>
      </w:divBdr>
    </w:div>
    <w:div w:id="1303387037">
      <w:bodyDiv w:val="1"/>
      <w:marLeft w:val="0"/>
      <w:marRight w:val="0"/>
      <w:marTop w:val="0"/>
      <w:marBottom w:val="0"/>
      <w:divBdr>
        <w:top w:val="none" w:sz="0" w:space="0" w:color="auto"/>
        <w:left w:val="none" w:sz="0" w:space="0" w:color="auto"/>
        <w:bottom w:val="none" w:sz="0" w:space="0" w:color="auto"/>
        <w:right w:val="none" w:sz="0" w:space="0" w:color="auto"/>
      </w:divBdr>
      <w:divsChild>
        <w:div w:id="123160509">
          <w:marLeft w:val="0"/>
          <w:marRight w:val="0"/>
          <w:marTop w:val="0"/>
          <w:marBottom w:val="0"/>
          <w:divBdr>
            <w:top w:val="none" w:sz="0" w:space="0" w:color="auto"/>
            <w:left w:val="none" w:sz="0" w:space="0" w:color="auto"/>
            <w:bottom w:val="none" w:sz="0" w:space="0" w:color="auto"/>
            <w:right w:val="none" w:sz="0" w:space="0" w:color="auto"/>
          </w:divBdr>
          <w:divsChild>
            <w:div w:id="1858808932">
              <w:marLeft w:val="0"/>
              <w:marRight w:val="0"/>
              <w:marTop w:val="0"/>
              <w:marBottom w:val="0"/>
              <w:divBdr>
                <w:top w:val="none" w:sz="0" w:space="0" w:color="auto"/>
                <w:left w:val="none" w:sz="0" w:space="0" w:color="auto"/>
                <w:bottom w:val="none" w:sz="0" w:space="0" w:color="auto"/>
                <w:right w:val="none" w:sz="0" w:space="0" w:color="auto"/>
              </w:divBdr>
              <w:divsChild>
                <w:div w:id="1510948377">
                  <w:marLeft w:val="0"/>
                  <w:marRight w:val="0"/>
                  <w:marTop w:val="0"/>
                  <w:marBottom w:val="0"/>
                  <w:divBdr>
                    <w:top w:val="none" w:sz="0" w:space="0" w:color="auto"/>
                    <w:left w:val="none" w:sz="0" w:space="0" w:color="auto"/>
                    <w:bottom w:val="none" w:sz="0" w:space="0" w:color="auto"/>
                    <w:right w:val="none" w:sz="0" w:space="0" w:color="auto"/>
                  </w:divBdr>
                  <w:divsChild>
                    <w:div w:id="12248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396219">
      <w:bodyDiv w:val="1"/>
      <w:marLeft w:val="0"/>
      <w:marRight w:val="0"/>
      <w:marTop w:val="0"/>
      <w:marBottom w:val="0"/>
      <w:divBdr>
        <w:top w:val="none" w:sz="0" w:space="0" w:color="auto"/>
        <w:left w:val="none" w:sz="0" w:space="0" w:color="auto"/>
        <w:bottom w:val="none" w:sz="0" w:space="0" w:color="auto"/>
        <w:right w:val="none" w:sz="0" w:space="0" w:color="auto"/>
      </w:divBdr>
    </w:div>
    <w:div w:id="1363479152">
      <w:bodyDiv w:val="1"/>
      <w:marLeft w:val="0"/>
      <w:marRight w:val="0"/>
      <w:marTop w:val="0"/>
      <w:marBottom w:val="0"/>
      <w:divBdr>
        <w:top w:val="none" w:sz="0" w:space="0" w:color="auto"/>
        <w:left w:val="none" w:sz="0" w:space="0" w:color="auto"/>
        <w:bottom w:val="none" w:sz="0" w:space="0" w:color="auto"/>
        <w:right w:val="none" w:sz="0" w:space="0" w:color="auto"/>
      </w:divBdr>
    </w:div>
    <w:div w:id="1506629478">
      <w:bodyDiv w:val="1"/>
      <w:marLeft w:val="0"/>
      <w:marRight w:val="0"/>
      <w:marTop w:val="0"/>
      <w:marBottom w:val="0"/>
      <w:divBdr>
        <w:top w:val="none" w:sz="0" w:space="0" w:color="auto"/>
        <w:left w:val="none" w:sz="0" w:space="0" w:color="auto"/>
        <w:bottom w:val="none" w:sz="0" w:space="0" w:color="auto"/>
        <w:right w:val="none" w:sz="0" w:space="0" w:color="auto"/>
      </w:divBdr>
    </w:div>
    <w:div w:id="1510219554">
      <w:bodyDiv w:val="1"/>
      <w:marLeft w:val="0"/>
      <w:marRight w:val="0"/>
      <w:marTop w:val="0"/>
      <w:marBottom w:val="0"/>
      <w:divBdr>
        <w:top w:val="none" w:sz="0" w:space="0" w:color="auto"/>
        <w:left w:val="none" w:sz="0" w:space="0" w:color="auto"/>
        <w:bottom w:val="none" w:sz="0" w:space="0" w:color="auto"/>
        <w:right w:val="none" w:sz="0" w:space="0" w:color="auto"/>
      </w:divBdr>
    </w:div>
    <w:div w:id="1546479764">
      <w:bodyDiv w:val="1"/>
      <w:marLeft w:val="0"/>
      <w:marRight w:val="0"/>
      <w:marTop w:val="0"/>
      <w:marBottom w:val="0"/>
      <w:divBdr>
        <w:top w:val="none" w:sz="0" w:space="0" w:color="auto"/>
        <w:left w:val="none" w:sz="0" w:space="0" w:color="auto"/>
        <w:bottom w:val="none" w:sz="0" w:space="0" w:color="auto"/>
        <w:right w:val="none" w:sz="0" w:space="0" w:color="auto"/>
      </w:divBdr>
    </w:div>
    <w:div w:id="1555199348">
      <w:bodyDiv w:val="1"/>
      <w:marLeft w:val="0"/>
      <w:marRight w:val="0"/>
      <w:marTop w:val="0"/>
      <w:marBottom w:val="0"/>
      <w:divBdr>
        <w:top w:val="none" w:sz="0" w:space="0" w:color="auto"/>
        <w:left w:val="none" w:sz="0" w:space="0" w:color="auto"/>
        <w:bottom w:val="none" w:sz="0" w:space="0" w:color="auto"/>
        <w:right w:val="none" w:sz="0" w:space="0" w:color="auto"/>
      </w:divBdr>
    </w:div>
    <w:div w:id="1570263684">
      <w:bodyDiv w:val="1"/>
      <w:marLeft w:val="0"/>
      <w:marRight w:val="0"/>
      <w:marTop w:val="0"/>
      <w:marBottom w:val="0"/>
      <w:divBdr>
        <w:top w:val="none" w:sz="0" w:space="0" w:color="auto"/>
        <w:left w:val="none" w:sz="0" w:space="0" w:color="auto"/>
        <w:bottom w:val="none" w:sz="0" w:space="0" w:color="auto"/>
        <w:right w:val="none" w:sz="0" w:space="0" w:color="auto"/>
      </w:divBdr>
    </w:div>
    <w:div w:id="1576937177">
      <w:bodyDiv w:val="1"/>
      <w:marLeft w:val="0"/>
      <w:marRight w:val="0"/>
      <w:marTop w:val="0"/>
      <w:marBottom w:val="0"/>
      <w:divBdr>
        <w:top w:val="none" w:sz="0" w:space="0" w:color="auto"/>
        <w:left w:val="none" w:sz="0" w:space="0" w:color="auto"/>
        <w:bottom w:val="none" w:sz="0" w:space="0" w:color="auto"/>
        <w:right w:val="none" w:sz="0" w:space="0" w:color="auto"/>
      </w:divBdr>
    </w:div>
    <w:div w:id="1589998107">
      <w:bodyDiv w:val="1"/>
      <w:marLeft w:val="0"/>
      <w:marRight w:val="0"/>
      <w:marTop w:val="0"/>
      <w:marBottom w:val="0"/>
      <w:divBdr>
        <w:top w:val="none" w:sz="0" w:space="0" w:color="auto"/>
        <w:left w:val="none" w:sz="0" w:space="0" w:color="auto"/>
        <w:bottom w:val="none" w:sz="0" w:space="0" w:color="auto"/>
        <w:right w:val="none" w:sz="0" w:space="0" w:color="auto"/>
      </w:divBdr>
    </w:div>
    <w:div w:id="1594821999">
      <w:bodyDiv w:val="1"/>
      <w:marLeft w:val="0"/>
      <w:marRight w:val="0"/>
      <w:marTop w:val="0"/>
      <w:marBottom w:val="0"/>
      <w:divBdr>
        <w:top w:val="none" w:sz="0" w:space="0" w:color="auto"/>
        <w:left w:val="none" w:sz="0" w:space="0" w:color="auto"/>
        <w:bottom w:val="none" w:sz="0" w:space="0" w:color="auto"/>
        <w:right w:val="none" w:sz="0" w:space="0" w:color="auto"/>
      </w:divBdr>
    </w:div>
    <w:div w:id="1636906855">
      <w:bodyDiv w:val="1"/>
      <w:marLeft w:val="0"/>
      <w:marRight w:val="0"/>
      <w:marTop w:val="0"/>
      <w:marBottom w:val="0"/>
      <w:divBdr>
        <w:top w:val="none" w:sz="0" w:space="0" w:color="auto"/>
        <w:left w:val="none" w:sz="0" w:space="0" w:color="auto"/>
        <w:bottom w:val="none" w:sz="0" w:space="0" w:color="auto"/>
        <w:right w:val="none" w:sz="0" w:space="0" w:color="auto"/>
      </w:divBdr>
    </w:div>
    <w:div w:id="1658799182">
      <w:bodyDiv w:val="1"/>
      <w:marLeft w:val="0"/>
      <w:marRight w:val="0"/>
      <w:marTop w:val="0"/>
      <w:marBottom w:val="0"/>
      <w:divBdr>
        <w:top w:val="none" w:sz="0" w:space="0" w:color="auto"/>
        <w:left w:val="none" w:sz="0" w:space="0" w:color="auto"/>
        <w:bottom w:val="none" w:sz="0" w:space="0" w:color="auto"/>
        <w:right w:val="none" w:sz="0" w:space="0" w:color="auto"/>
      </w:divBdr>
    </w:div>
    <w:div w:id="1702197539">
      <w:bodyDiv w:val="1"/>
      <w:marLeft w:val="0"/>
      <w:marRight w:val="0"/>
      <w:marTop w:val="0"/>
      <w:marBottom w:val="0"/>
      <w:divBdr>
        <w:top w:val="none" w:sz="0" w:space="0" w:color="auto"/>
        <w:left w:val="none" w:sz="0" w:space="0" w:color="auto"/>
        <w:bottom w:val="none" w:sz="0" w:space="0" w:color="auto"/>
        <w:right w:val="none" w:sz="0" w:space="0" w:color="auto"/>
      </w:divBdr>
    </w:div>
    <w:div w:id="1749843616">
      <w:bodyDiv w:val="1"/>
      <w:marLeft w:val="0"/>
      <w:marRight w:val="0"/>
      <w:marTop w:val="0"/>
      <w:marBottom w:val="0"/>
      <w:divBdr>
        <w:top w:val="none" w:sz="0" w:space="0" w:color="auto"/>
        <w:left w:val="none" w:sz="0" w:space="0" w:color="auto"/>
        <w:bottom w:val="none" w:sz="0" w:space="0" w:color="auto"/>
        <w:right w:val="none" w:sz="0" w:space="0" w:color="auto"/>
      </w:divBdr>
    </w:div>
    <w:div w:id="1939368940">
      <w:bodyDiv w:val="1"/>
      <w:marLeft w:val="0"/>
      <w:marRight w:val="0"/>
      <w:marTop w:val="0"/>
      <w:marBottom w:val="0"/>
      <w:divBdr>
        <w:top w:val="none" w:sz="0" w:space="0" w:color="auto"/>
        <w:left w:val="none" w:sz="0" w:space="0" w:color="auto"/>
        <w:bottom w:val="none" w:sz="0" w:space="0" w:color="auto"/>
        <w:right w:val="none" w:sz="0" w:space="0" w:color="auto"/>
      </w:divBdr>
    </w:div>
    <w:div w:id="1998915869">
      <w:bodyDiv w:val="1"/>
      <w:marLeft w:val="0"/>
      <w:marRight w:val="0"/>
      <w:marTop w:val="0"/>
      <w:marBottom w:val="0"/>
      <w:divBdr>
        <w:top w:val="none" w:sz="0" w:space="0" w:color="auto"/>
        <w:left w:val="none" w:sz="0" w:space="0" w:color="auto"/>
        <w:bottom w:val="none" w:sz="0" w:space="0" w:color="auto"/>
        <w:right w:val="none" w:sz="0" w:space="0" w:color="auto"/>
      </w:divBdr>
    </w:div>
    <w:div w:id="2039575173">
      <w:bodyDiv w:val="1"/>
      <w:marLeft w:val="0"/>
      <w:marRight w:val="0"/>
      <w:marTop w:val="0"/>
      <w:marBottom w:val="0"/>
      <w:divBdr>
        <w:top w:val="none" w:sz="0" w:space="0" w:color="auto"/>
        <w:left w:val="none" w:sz="0" w:space="0" w:color="auto"/>
        <w:bottom w:val="none" w:sz="0" w:space="0" w:color="auto"/>
        <w:right w:val="none" w:sz="0" w:space="0" w:color="auto"/>
      </w:divBdr>
    </w:div>
    <w:div w:id="2088071808">
      <w:bodyDiv w:val="1"/>
      <w:marLeft w:val="0"/>
      <w:marRight w:val="0"/>
      <w:marTop w:val="0"/>
      <w:marBottom w:val="0"/>
      <w:divBdr>
        <w:top w:val="none" w:sz="0" w:space="0" w:color="auto"/>
        <w:left w:val="none" w:sz="0" w:space="0" w:color="auto"/>
        <w:bottom w:val="none" w:sz="0" w:space="0" w:color="auto"/>
        <w:right w:val="none" w:sz="0" w:space="0" w:color="auto"/>
      </w:divBdr>
    </w:div>
    <w:div w:id="2126650801">
      <w:bodyDiv w:val="1"/>
      <w:marLeft w:val="0"/>
      <w:marRight w:val="0"/>
      <w:marTop w:val="0"/>
      <w:marBottom w:val="0"/>
      <w:divBdr>
        <w:top w:val="none" w:sz="0" w:space="0" w:color="auto"/>
        <w:left w:val="none" w:sz="0" w:space="0" w:color="auto"/>
        <w:bottom w:val="none" w:sz="0" w:space="0" w:color="auto"/>
        <w:right w:val="none" w:sz="0" w:space="0" w:color="auto"/>
      </w:divBdr>
    </w:div>
    <w:div w:id="214141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3.emf"/><Relationship Id="rId39" Type="http://schemas.openxmlformats.org/officeDocument/2006/relationships/oleObject" Target="embeddings/Microsoft_Word_97_-_2003_Document6.doc"/><Relationship Id="rId21" Type="http://schemas.openxmlformats.org/officeDocument/2006/relationships/chart" Target="charts/chart13.xml"/><Relationship Id="rId34" Type="http://schemas.openxmlformats.org/officeDocument/2006/relationships/image" Target="media/image7.emf"/><Relationship Id="rId42" Type="http://schemas.openxmlformats.org/officeDocument/2006/relationships/image" Target="media/image11.emf"/><Relationship Id="rId47" Type="http://schemas.openxmlformats.org/officeDocument/2006/relationships/oleObject" Target="embeddings/Microsoft_Word_97_-_2003_Document10.doc"/><Relationship Id="rId50" Type="http://schemas.openxmlformats.org/officeDocument/2006/relationships/image" Target="media/image15.emf"/><Relationship Id="rId55" Type="http://schemas.openxmlformats.org/officeDocument/2006/relationships/oleObject" Target="embeddings/Microsoft_Word_97_-_2003_Document14.doc"/><Relationship Id="rId63" Type="http://schemas.openxmlformats.org/officeDocument/2006/relationships/image" Target="media/image22.png"/><Relationship Id="rId68" Type="http://schemas.openxmlformats.org/officeDocument/2006/relationships/image" Target="media/image27.jpeg"/><Relationship Id="rId76" Type="http://schemas.openxmlformats.org/officeDocument/2006/relationships/chart" Target="charts/chart19.xml"/><Relationship Id="rId7" Type="http://schemas.openxmlformats.org/officeDocument/2006/relationships/endnotes" Target="endnotes.xml"/><Relationship Id="rId71"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oleObject" Target="embeddings/Microsoft_Word_97_-_2003_Document1.doc"/><Relationship Id="rId11" Type="http://schemas.openxmlformats.org/officeDocument/2006/relationships/chart" Target="charts/chart3.xml"/><Relationship Id="rId24" Type="http://schemas.openxmlformats.org/officeDocument/2006/relationships/oleObject" Target="embeddings/Microsoft_Word_97_-_2003_Document.doc"/><Relationship Id="rId32" Type="http://schemas.openxmlformats.org/officeDocument/2006/relationships/image" Target="media/image6.emf"/><Relationship Id="rId37" Type="http://schemas.openxmlformats.org/officeDocument/2006/relationships/oleObject" Target="embeddings/Microsoft_Word_97_-_2003_Document5.doc"/><Relationship Id="rId40" Type="http://schemas.openxmlformats.org/officeDocument/2006/relationships/image" Target="media/image10.emf"/><Relationship Id="rId45" Type="http://schemas.openxmlformats.org/officeDocument/2006/relationships/oleObject" Target="embeddings/Microsoft_Word_97_-_2003_Document9.doc"/><Relationship Id="rId53" Type="http://schemas.openxmlformats.org/officeDocument/2006/relationships/oleObject" Target="embeddings/Microsoft_Word_97_-_2003_Document13.doc"/><Relationship Id="rId58" Type="http://schemas.openxmlformats.org/officeDocument/2006/relationships/image" Target="media/image19.emf"/><Relationship Id="rId66" Type="http://schemas.openxmlformats.org/officeDocument/2006/relationships/image" Target="media/image25.wmf"/><Relationship Id="rId74" Type="http://schemas.openxmlformats.org/officeDocument/2006/relationships/image" Target="media/image30.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Microsoft_Word_97_-_2003_Document17.doc"/><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oleObject" Target="embeddings/Microsoft_Word_97_-_2003_Document2.doc"/><Relationship Id="rId44" Type="http://schemas.openxmlformats.org/officeDocument/2006/relationships/image" Target="media/image12.emf"/><Relationship Id="rId52" Type="http://schemas.openxmlformats.org/officeDocument/2006/relationships/image" Target="media/image16.emf"/><Relationship Id="rId60" Type="http://schemas.openxmlformats.org/officeDocument/2006/relationships/image" Target="media/image20.emf"/><Relationship Id="rId65" Type="http://schemas.openxmlformats.org/officeDocument/2006/relationships/image" Target="media/image24.png"/><Relationship Id="rId73" Type="http://schemas.openxmlformats.org/officeDocument/2006/relationships/chart" Target="charts/chart18.xm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oleObject" Target="embeddings/oleObject2.bin"/><Relationship Id="rId30" Type="http://schemas.openxmlformats.org/officeDocument/2006/relationships/image" Target="media/image5.emf"/><Relationship Id="rId35" Type="http://schemas.openxmlformats.org/officeDocument/2006/relationships/oleObject" Target="embeddings/Microsoft_Word_97_-_2003_Document4.doc"/><Relationship Id="rId43" Type="http://schemas.openxmlformats.org/officeDocument/2006/relationships/oleObject" Target="embeddings/Microsoft_Word_97_-_2003_Document8.doc"/><Relationship Id="rId48" Type="http://schemas.openxmlformats.org/officeDocument/2006/relationships/image" Target="media/image14.emf"/><Relationship Id="rId56" Type="http://schemas.openxmlformats.org/officeDocument/2006/relationships/image" Target="media/image18.emf"/><Relationship Id="rId64" Type="http://schemas.openxmlformats.org/officeDocument/2006/relationships/image" Target="media/image23.png"/><Relationship Id="rId69" Type="http://schemas.openxmlformats.org/officeDocument/2006/relationships/image" Target="media/image28.jpeg"/><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Microsoft_Word_97_-_2003_Document12.doc"/><Relationship Id="rId72" Type="http://schemas.openxmlformats.org/officeDocument/2006/relationships/chart" Target="charts/chart17.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33" Type="http://schemas.openxmlformats.org/officeDocument/2006/relationships/oleObject" Target="embeddings/Microsoft_Word_97_-_2003_Document3.doc"/><Relationship Id="rId38" Type="http://schemas.openxmlformats.org/officeDocument/2006/relationships/image" Target="media/image9.emf"/><Relationship Id="rId46" Type="http://schemas.openxmlformats.org/officeDocument/2006/relationships/image" Target="media/image13.emf"/><Relationship Id="rId59" Type="http://schemas.openxmlformats.org/officeDocument/2006/relationships/oleObject" Target="embeddings/Microsoft_Word_97_-_2003_Document16.doc"/><Relationship Id="rId67" Type="http://schemas.openxmlformats.org/officeDocument/2006/relationships/image" Target="media/image26.jpeg"/><Relationship Id="rId20" Type="http://schemas.openxmlformats.org/officeDocument/2006/relationships/chart" Target="charts/chart12.xml"/><Relationship Id="rId41" Type="http://schemas.openxmlformats.org/officeDocument/2006/relationships/oleObject" Target="embeddings/Microsoft_Word_97_-_2003_Document7.doc"/><Relationship Id="rId54" Type="http://schemas.openxmlformats.org/officeDocument/2006/relationships/image" Target="media/image17.emf"/><Relationship Id="rId62" Type="http://schemas.openxmlformats.org/officeDocument/2006/relationships/image" Target="media/image21.png"/><Relationship Id="rId70" Type="http://schemas.openxmlformats.org/officeDocument/2006/relationships/image" Target="media/image29.jpeg"/><Relationship Id="rId75"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2.emf"/><Relationship Id="rId28" Type="http://schemas.openxmlformats.org/officeDocument/2006/relationships/image" Target="media/image4.emf"/><Relationship Id="rId36" Type="http://schemas.openxmlformats.org/officeDocument/2006/relationships/image" Target="media/image8.emf"/><Relationship Id="rId49" Type="http://schemas.openxmlformats.org/officeDocument/2006/relationships/oleObject" Target="embeddings/Microsoft_Word_97_-_2003_Document11.doc"/><Relationship Id="rId57" Type="http://schemas.openxmlformats.org/officeDocument/2006/relationships/oleObject" Target="embeddings/Microsoft_Word_97_-_2003_Document15.doc"/></Relationships>
</file>

<file path=word/_rels/footnotes.xml.rels><?xml version="1.0" encoding="UTF-8" standalone="yes"?>
<Relationships xmlns="http://schemas.openxmlformats.org/package/2006/relationships"><Relationship Id="rId2" Type="http://schemas.openxmlformats.org/officeDocument/2006/relationships/hyperlink" Target="https://pjcr-my.sharepoint.com/:w:/g/personal/rquirosp_poder-judicial_go_cr/Ed_J5eoPdVhJuiQW_ealvNYBOFUs6LCw31Y26VCtfnj3qg?e=Yvh3Nm" TargetMode="External"/><Relationship Id="rId1" Type="http://schemas.openxmlformats.org/officeDocument/2006/relationships/hyperlink" Target="https://nexuspj.poder-judicial.go.cr/document/act-1-0003-303-1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TERNO-2020%20GRAFICOS%20PENAL%20JUVENIL.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TERNO-2020%20GRAFICOS%20PENAL%20JUVENIL.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TERNO-2020%20GRAFICOS%20PENAL%20JUVENIL.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TERNO-2020%20GRAFICOS%20PENAL%20JUVENIL.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19.xml.rels><?xml version="1.0" encoding="UTF-8" standalone="yes"?>
<Relationships xmlns="http://schemas.openxmlformats.org/package/2006/relationships"><Relationship Id="rId3" Type="http://schemas.openxmlformats.org/officeDocument/2006/relationships/oleObject" Target="file:///D:\Respaldo-cambio-2020\PUESTOCJP\DOCUMENTOS%20C.J.P\CJP\INFORMES%20PRESIDENCIA\2020\CJP\Informe%20para%20Presidencia%20Corte%202020\Libro1.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sjoarc17\Sala-Tercera-Comun-Jurisprudencia\Estadistica%202021\Anual%202020\INFORME%20ANUAL%20-GRAFICOS-2020-RENDICIONDECUENTA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FORME%20ANUAL%20-GRAFICOS-2020-RENDICIONDECUENTAS.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FORME%20ANUAL%20-GRAFICOS-2020-RENDICIONDECUENTA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FORME%20ANUAL%20-GRAFICOS-2020-RENDICIONDECUENTAS.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FORME%20ANUAL%20-GRAFICOS-2020-RENDICIONDECUENTAS.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sjoarc17\Sala-Tercera-Comun-Jurisprudencia\Estadistica%202021\Anual%202020\INFORME%20ANUAL%20-GRAFICOS-2020-RENDICIONDECUENTA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6048121590075587E-2"/>
          <c:y val="2.802337703516164E-2"/>
          <c:w val="0.87865625952434379"/>
          <c:h val="0.88041080359158874"/>
        </c:manualLayout>
      </c:layout>
      <c:bar3DChart>
        <c:barDir val="col"/>
        <c:grouping val="clustered"/>
        <c:varyColors val="0"/>
        <c:ser>
          <c:idx val="0"/>
          <c:order val="0"/>
          <c:invertIfNegative val="0"/>
          <c:dLbls>
            <c:dLbl>
              <c:idx val="0"/>
              <c:layout>
                <c:manualLayout>
                  <c:x val="1.996823736113721E-2"/>
                  <c:y val="-4.1394342874522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AA-4A97-8BFC-3CE4F706D111}"/>
                </c:ext>
              </c:extLst>
            </c:dLbl>
            <c:dLbl>
              <c:idx val="1"/>
              <c:layout>
                <c:manualLayout>
                  <c:x val="1.112153117574916E-2"/>
                  <c:y val="-3.3652349250335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AA-4A97-8BFC-3CE4F706D111}"/>
                </c:ext>
              </c:extLst>
            </c:dLbl>
            <c:dLbl>
              <c:idx val="2"/>
              <c:layout>
                <c:manualLayout>
                  <c:x val="1.8264840182648401E-2"/>
                  <c:y val="-1.5362819595103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AA-4A97-8BFC-3CE4F706D111}"/>
                </c:ext>
              </c:extLst>
            </c:dLbl>
            <c:dLbl>
              <c:idx val="3"/>
              <c:layout>
                <c:manualLayout>
                  <c:x val="2.2041810111682675E-2"/>
                  <c:y val="-6.4170186881146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AA-4A97-8BFC-3CE4F706D111}"/>
                </c:ext>
              </c:extLst>
            </c:dLbl>
            <c:dLbl>
              <c:idx val="4"/>
              <c:layout>
                <c:manualLayout>
                  <c:x val="2.2831050228310518E-2"/>
                  <c:y val="-6.0185185185185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AA-4A97-8BFC-3CE4F706D111}"/>
                </c:ext>
              </c:extLst>
            </c:dLbl>
            <c:spPr>
              <a:noFill/>
              <a:ln>
                <a:noFill/>
              </a:ln>
              <a:effectLst/>
            </c:spPr>
            <c:txPr>
              <a:bodyPr/>
              <a:lstStyle/>
              <a:p>
                <a:pPr>
                  <a:defRPr sz="1200" b="1"/>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'1-Balance General-2020'!$A$2:$A$6</c:f>
              <c:strCache>
                <c:ptCount val="5"/>
                <c:pt idx="0">
                  <c:v>Inicial</c:v>
                </c:pt>
                <c:pt idx="1">
                  <c:v>Entrados</c:v>
                </c:pt>
                <c:pt idx="2">
                  <c:v>Salidos</c:v>
                </c:pt>
                <c:pt idx="3">
                  <c:v>Final</c:v>
                </c:pt>
                <c:pt idx="4">
                  <c:v>Suspendidos</c:v>
                </c:pt>
              </c:strCache>
            </c:strRef>
          </c:cat>
          <c:val>
            <c:numRef>
              <c:f>'1-Balance General-2020'!$B$2:$B$6</c:f>
              <c:numCache>
                <c:formatCode>General</c:formatCode>
                <c:ptCount val="5"/>
                <c:pt idx="0">
                  <c:v>470</c:v>
                </c:pt>
                <c:pt idx="1">
                  <c:v>1267</c:v>
                </c:pt>
                <c:pt idx="2">
                  <c:v>1413</c:v>
                </c:pt>
                <c:pt idx="3">
                  <c:v>322</c:v>
                </c:pt>
                <c:pt idx="4">
                  <c:v>0</c:v>
                </c:pt>
              </c:numCache>
            </c:numRef>
          </c:val>
          <c:extLst>
            <c:ext xmlns:c16="http://schemas.microsoft.com/office/drawing/2014/chart" uri="{C3380CC4-5D6E-409C-BE32-E72D297353CC}">
              <c16:uniqueId val="{00000005-23AA-4A97-8BFC-3CE4F706D111}"/>
            </c:ext>
          </c:extLst>
        </c:ser>
        <c:dLbls>
          <c:showLegendKey val="0"/>
          <c:showVal val="0"/>
          <c:showCatName val="0"/>
          <c:showSerName val="0"/>
          <c:showPercent val="0"/>
          <c:showBubbleSize val="0"/>
        </c:dLbls>
        <c:gapWidth val="150"/>
        <c:shape val="box"/>
        <c:axId val="104807424"/>
        <c:axId val="104825600"/>
        <c:axId val="0"/>
      </c:bar3DChart>
      <c:catAx>
        <c:axId val="104807424"/>
        <c:scaling>
          <c:orientation val="minMax"/>
        </c:scaling>
        <c:delete val="0"/>
        <c:axPos val="b"/>
        <c:numFmt formatCode="General" sourceLinked="1"/>
        <c:majorTickMark val="out"/>
        <c:minorTickMark val="none"/>
        <c:tickLblPos val="nextTo"/>
        <c:txPr>
          <a:bodyPr/>
          <a:lstStyle/>
          <a:p>
            <a:pPr>
              <a:defRPr sz="1200" b="1"/>
            </a:pPr>
            <a:endParaRPr lang="es-CR"/>
          </a:p>
        </c:txPr>
        <c:crossAx val="104825600"/>
        <c:crosses val="autoZero"/>
        <c:auto val="1"/>
        <c:lblAlgn val="ctr"/>
        <c:lblOffset val="100"/>
        <c:noMultiLvlLbl val="0"/>
      </c:catAx>
      <c:valAx>
        <c:axId val="104825600"/>
        <c:scaling>
          <c:orientation val="minMax"/>
          <c:min val="0"/>
        </c:scaling>
        <c:delete val="0"/>
        <c:axPos val="l"/>
        <c:majorGridlines/>
        <c:numFmt formatCode="General" sourceLinked="1"/>
        <c:majorTickMark val="out"/>
        <c:minorTickMark val="none"/>
        <c:tickLblPos val="nextTo"/>
        <c:crossAx val="104807424"/>
        <c:crosses val="autoZero"/>
        <c:crossBetween val="between"/>
        <c:majorUnit val="200"/>
      </c:valAx>
      <c:spPr>
        <a:noFill/>
        <a:ln w="25400">
          <a:noFill/>
        </a:ln>
      </c:spPr>
    </c:plotArea>
    <c:plotVisOnly val="1"/>
    <c:dispBlanksAs val="gap"/>
    <c:showDLblsOverMax val="0"/>
  </c:chart>
  <c:spPr>
    <a:solidFill>
      <a:schemeClr val="tx2">
        <a:lumMod val="20000"/>
        <a:lumOff val="80000"/>
      </a:schemeClr>
    </a:solidFill>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ES"/>
              <a:t>SALA TERCERA
MATERIA PENAL JUVENIL
   Balance  General Anual 2020</a:t>
            </a:r>
          </a:p>
        </c:rich>
      </c:tx>
      <c:layout>
        <c:manualLayout>
          <c:xMode val="edge"/>
          <c:yMode val="edge"/>
          <c:x val="0.21978977212910628"/>
          <c:y val="2.9378890138732659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R"/>
        </a:p>
      </c:tx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426317829177786E-2"/>
          <c:y val="0.20194408408466274"/>
          <c:w val="0.94284604465935529"/>
          <c:h val="0.57559463538569589"/>
        </c:manualLayout>
      </c:layout>
      <c:bar3DChart>
        <c:barDir val="col"/>
        <c:grouping val="clustered"/>
        <c:varyColors val="0"/>
        <c:ser>
          <c:idx val="0"/>
          <c:order val="0"/>
          <c:tx>
            <c:strRef>
              <c:f>'1-Balance General-2020'!$A$2</c:f>
              <c:strCache>
                <c:ptCount val="1"/>
                <c:pt idx="0">
                  <c:v>Inicial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2934985823867454E-3"/>
                  <c:y val="-3.1300899887514062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42-4BD9-9565-7567D05B35C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lumMod val="8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'1-Balance General-2020'!$B$2</c:f>
              <c:numCache>
                <c:formatCode>General</c:formatCode>
                <c:ptCount val="1"/>
                <c:pt idx="0">
                  <c:v>18</c:v>
                </c:pt>
              </c:numCache>
            </c:numRef>
          </c:val>
          <c:extLst>
            <c:ext xmlns:c16="http://schemas.microsoft.com/office/drawing/2014/chart" uri="{C3380CC4-5D6E-409C-BE32-E72D297353CC}">
              <c16:uniqueId val="{00000001-4342-4BD9-9565-7567D05B35CD}"/>
            </c:ext>
          </c:extLst>
        </c:ser>
        <c:ser>
          <c:idx val="1"/>
          <c:order val="1"/>
          <c:tx>
            <c:strRef>
              <c:f>'1-Balance General-2020'!$A$3</c:f>
              <c:strCache>
                <c:ptCount val="1"/>
                <c:pt idx="0">
                  <c:v>Entrados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1098405230466523E-2"/>
                  <c:y val="-2.5113985751781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42-4BD9-9565-7567D05B35C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'1-Balance General-2020'!$B$3</c:f>
              <c:numCache>
                <c:formatCode>General</c:formatCode>
                <c:ptCount val="1"/>
                <c:pt idx="0">
                  <c:v>25</c:v>
                </c:pt>
              </c:numCache>
            </c:numRef>
          </c:val>
          <c:extLst>
            <c:ext xmlns:c16="http://schemas.microsoft.com/office/drawing/2014/chart" uri="{C3380CC4-5D6E-409C-BE32-E72D297353CC}">
              <c16:uniqueId val="{00000003-4342-4BD9-9565-7567D05B35CD}"/>
            </c:ext>
          </c:extLst>
        </c:ser>
        <c:ser>
          <c:idx val="2"/>
          <c:order val="2"/>
          <c:tx>
            <c:strRef>
              <c:f>'1-Balance General-2020'!$A$4</c:f>
              <c:strCache>
                <c:ptCount val="1"/>
                <c:pt idx="0">
                  <c:v>Salidos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353092792861472E-2"/>
                  <c:y val="-4.0140794900637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42-4BD9-9565-7567D05B35C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'1-Balance General-2020'!$B$4</c:f>
              <c:numCache>
                <c:formatCode>General</c:formatCode>
                <c:ptCount val="1"/>
                <c:pt idx="0">
                  <c:v>36</c:v>
                </c:pt>
              </c:numCache>
            </c:numRef>
          </c:val>
          <c:extLst>
            <c:ext xmlns:c16="http://schemas.microsoft.com/office/drawing/2014/chart" uri="{C3380CC4-5D6E-409C-BE32-E72D297353CC}">
              <c16:uniqueId val="{00000005-4342-4BD9-9565-7567D05B35CD}"/>
            </c:ext>
          </c:extLst>
        </c:ser>
        <c:ser>
          <c:idx val="3"/>
          <c:order val="3"/>
          <c:tx>
            <c:strRef>
              <c:f>'1-Balance General-2020'!$A$5</c:f>
              <c:strCache>
                <c:ptCount val="1"/>
                <c:pt idx="0">
                  <c:v>Final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8210794190145235E-2"/>
                  <c:y val="-3.3733220847394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42-4BD9-9565-7567D05B35C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'1-Balance General-2020'!$B$5</c:f>
              <c:numCache>
                <c:formatCode>General</c:formatCode>
                <c:ptCount val="1"/>
                <c:pt idx="0">
                  <c:v>7</c:v>
                </c:pt>
              </c:numCache>
            </c:numRef>
          </c:val>
          <c:extLst>
            <c:ext xmlns:c16="http://schemas.microsoft.com/office/drawing/2014/chart" uri="{C3380CC4-5D6E-409C-BE32-E72D297353CC}">
              <c16:uniqueId val="{00000007-4342-4BD9-9565-7567D05B35CD}"/>
            </c:ext>
          </c:extLst>
        </c:ser>
        <c:dLbls>
          <c:showLegendKey val="0"/>
          <c:showVal val="1"/>
          <c:showCatName val="0"/>
          <c:showSerName val="0"/>
          <c:showPercent val="0"/>
          <c:showBubbleSize val="0"/>
        </c:dLbls>
        <c:gapWidth val="150"/>
        <c:shape val="box"/>
        <c:axId val="94601216"/>
        <c:axId val="94603136"/>
        <c:axId val="0"/>
      </c:bar3DChart>
      <c:catAx>
        <c:axId val="94601216"/>
        <c:scaling>
          <c:orientation val="minMax"/>
        </c:scaling>
        <c:delete val="0"/>
        <c:axPos val="b"/>
        <c:title>
          <c:tx>
            <c:rich>
              <a:bodyPr rot="0" spcFirstLastPara="1" vertOverflow="ellipsis" vert="horz" wrap="square" anchor="ctr" anchorCtr="1"/>
              <a:lstStyle/>
              <a:p>
                <a:pPr>
                  <a:defRPr sz="1200" b="1" i="0" u="none" strike="noStrike" kern="1200" cap="all" baseline="0">
                    <a:solidFill>
                      <a:schemeClr val="lt1">
                        <a:lumMod val="85000"/>
                      </a:schemeClr>
                    </a:solidFill>
                    <a:latin typeface="+mn-lt"/>
                    <a:ea typeface="+mn-ea"/>
                    <a:cs typeface="+mn-cs"/>
                  </a:defRPr>
                </a:pPr>
                <a:r>
                  <a:rPr lang="es-ES" sz="1200"/>
                  <a:t>CIRCULANTE TOTAL
Movimiento Anual
Entrados: 25 
Reentrados: 0
Salidos:  36</a:t>
                </a:r>
              </a:p>
            </c:rich>
          </c:tx>
          <c:layout>
            <c:manualLayout>
              <c:xMode val="edge"/>
              <c:yMode val="edge"/>
              <c:x val="0.38037594885701526"/>
              <c:y val="0.8164157020213112"/>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chemeClr val="lt1">
                      <a:lumMod val="85000"/>
                    </a:schemeClr>
                  </a:solidFill>
                  <a:latin typeface="+mn-lt"/>
                  <a:ea typeface="+mn-ea"/>
                  <a:cs typeface="+mn-cs"/>
                </a:defRPr>
              </a:pPr>
              <a:endParaRPr lang="es-CR"/>
            </a:p>
          </c:txPr>
        </c:title>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es-CR"/>
          </a:p>
        </c:txPr>
        <c:crossAx val="94603136"/>
        <c:crosses val="autoZero"/>
        <c:auto val="1"/>
        <c:lblAlgn val="ctr"/>
        <c:lblOffset val="100"/>
        <c:tickLblSkip val="1"/>
        <c:tickMarkSkip val="1"/>
        <c:noMultiLvlLbl val="0"/>
      </c:catAx>
      <c:valAx>
        <c:axId val="94603136"/>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200" b="1" i="0" u="none" strike="noStrike" kern="1200" baseline="0">
                <a:solidFill>
                  <a:schemeClr val="lt1">
                    <a:lumMod val="85000"/>
                  </a:schemeClr>
                </a:solidFill>
                <a:latin typeface="+mn-lt"/>
                <a:ea typeface="+mn-ea"/>
                <a:cs typeface="+mn-cs"/>
              </a:defRPr>
            </a:pPr>
            <a:endParaRPr lang="es-CR"/>
          </a:p>
        </c:txPr>
        <c:crossAx val="94601216"/>
        <c:crosses val="autoZero"/>
        <c:crossBetween val="between"/>
      </c:valAx>
      <c:spPr>
        <a:noFill/>
        <a:ln>
          <a:noFill/>
        </a:ln>
        <a:effectLst/>
      </c:spPr>
    </c:plotArea>
    <c:legend>
      <c:legendPos val="r"/>
      <c:layout>
        <c:manualLayout>
          <c:xMode val="edge"/>
          <c:yMode val="edge"/>
          <c:x val="0.8397759408704617"/>
          <c:y val="0.31288509884880988"/>
          <c:w val="0.14639280048500161"/>
          <c:h val="0.4062673983933826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lt1">
                  <a:lumMod val="85000"/>
                </a:schemeClr>
              </a:solidFill>
              <a:latin typeface="+mn-lt"/>
              <a:ea typeface="+mn-ea"/>
              <a:cs typeface="+mn-cs"/>
            </a:defRPr>
          </a:pPr>
          <a:endParaRPr lang="es-CR"/>
        </a:p>
      </c:txPr>
    </c:legend>
    <c:plotVisOnly val="1"/>
    <c:dispBlanksAs val="gap"/>
    <c:showDLblsOverMax val="0"/>
  </c:chart>
  <c:spPr>
    <a:solidFill>
      <a:srgbClr val="002060"/>
    </a:solidFill>
    <a:ln>
      <a:noFill/>
    </a:ln>
    <a:effectLst/>
  </c:spPr>
  <c:txPr>
    <a:bodyPr/>
    <a:lstStyle/>
    <a:p>
      <a:pPr>
        <a:defRPr/>
      </a:pPr>
      <a:endParaRPr lang="es-C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mj-lt"/>
                <a:ea typeface="+mj-ea"/>
                <a:cs typeface="+mj-cs"/>
              </a:defRPr>
            </a:pPr>
            <a:r>
              <a:rPr lang="es-ES">
                <a:solidFill>
                  <a:schemeClr val="tx1"/>
                </a:solidFill>
              </a:rPr>
              <a:t>CUADRO N° 1
BALANCE GENERAL
(Expedientes Entrados ( nuevos y reentrados), Resueltos y Circulante Activo)</a:t>
            </a:r>
          </a:p>
        </c:rich>
      </c:tx>
      <c:layout>
        <c:manualLayout>
          <c:xMode val="edge"/>
          <c:yMode val="edge"/>
          <c:x val="0.16862342535345373"/>
          <c:y val="4.3398190928613273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mj-lt"/>
              <a:ea typeface="+mj-ea"/>
              <a:cs typeface="+mj-cs"/>
            </a:defRPr>
          </a:pPr>
          <a:endParaRPr lang="es-CR"/>
        </a:p>
      </c:txPr>
    </c:title>
    <c:autoTitleDeleted val="0"/>
    <c:plotArea>
      <c:layout>
        <c:manualLayout>
          <c:layoutTarget val="inner"/>
          <c:xMode val="edge"/>
          <c:yMode val="edge"/>
          <c:x val="8.4568479332930879E-2"/>
          <c:y val="0.27108251447907855"/>
          <c:w val="0.84813626369496176"/>
          <c:h val="0.6098976522562779"/>
        </c:manualLayout>
      </c:layout>
      <c:lineChart>
        <c:grouping val="standard"/>
        <c:varyColors val="0"/>
        <c:ser>
          <c:idx val="0"/>
          <c:order val="0"/>
          <c:tx>
            <c:strRef>
              <c:f>'2-BALANCE GENERAL'!$B$2</c:f>
              <c:strCache>
                <c:ptCount val="1"/>
                <c:pt idx="0">
                  <c:v>Entrados</c:v>
                </c:pt>
              </c:strCache>
            </c:strRef>
          </c:tx>
          <c:spPr>
            <a:ln w="22225" cap="rnd">
              <a:solidFill>
                <a:schemeClr val="accent1"/>
              </a:solidFill>
              <a:round/>
            </a:ln>
            <a:effectLst/>
          </c:spPr>
          <c:marker>
            <c:symbol val="none"/>
          </c:marker>
          <c:dLbls>
            <c:dLbl>
              <c:idx val="0"/>
              <c:layout>
                <c:manualLayout>
                  <c:x val="-3.1573857385951941E-2"/>
                  <c:y val="6.5133570521989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BF-4DD3-9AFD-779ED59520A8}"/>
                </c:ext>
              </c:extLst>
            </c:dLbl>
            <c:dLbl>
              <c:idx val="1"/>
              <c:layout>
                <c:manualLayout>
                  <c:x val="-2.5834138654640543E-2"/>
                  <c:y val="-3.1135242971072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BF-4DD3-9AFD-779ED59520A8}"/>
                </c:ext>
              </c:extLst>
            </c:dLbl>
            <c:dLbl>
              <c:idx val="2"/>
              <c:layout>
                <c:manualLayout>
                  <c:x val="-3.0131176707761175E-2"/>
                  <c:y val="-2.5858814008017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BF-4DD3-9AFD-779ED59520A8}"/>
                </c:ext>
              </c:extLst>
            </c:dLbl>
            <c:dLbl>
              <c:idx val="3"/>
              <c:layout>
                <c:manualLayout>
                  <c:x val="-2.7140297796904266E-2"/>
                  <c:y val="-4.4428175816865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BF-4DD3-9AFD-779ED59520A8}"/>
                </c:ext>
              </c:extLst>
            </c:dLbl>
            <c:dLbl>
              <c:idx val="4"/>
              <c:layout>
                <c:manualLayout>
                  <c:x val="-2.6027131328172172E-2"/>
                  <c:y val="-3.2141634663066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BF-4DD3-9AFD-779ED59520A8}"/>
                </c:ext>
              </c:extLst>
            </c:dLbl>
            <c:dLbl>
              <c:idx val="5"/>
              <c:layout>
                <c:manualLayout>
                  <c:x val="-9.9249968614879888E-3"/>
                  <c:y val="-8.553448576221795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BF-4DD3-9AFD-779ED59520A8}"/>
                </c:ext>
              </c:extLst>
            </c:dLbl>
            <c:dLbl>
              <c:idx val="6"/>
              <c:layout>
                <c:manualLayout>
                  <c:x val="-0.35069884724395645"/>
                  <c:y val="-0.499966636166273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BF-4DD3-9AFD-779ED59520A8}"/>
                </c:ext>
              </c:extLst>
            </c:dLbl>
            <c:dLbl>
              <c:idx val="7"/>
              <c:layout>
                <c:manualLayout>
                  <c:xMode val="edge"/>
                  <c:yMode val="edge"/>
                  <c:x val="0.62336536712677004"/>
                  <c:y val="0.1063556183658754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BF-4DD3-9AFD-779ED59520A8}"/>
                </c:ext>
              </c:extLst>
            </c:dLbl>
            <c:dLbl>
              <c:idx val="8"/>
              <c:layout>
                <c:manualLayout>
                  <c:xMode val="edge"/>
                  <c:yMode val="edge"/>
                  <c:x val="0.70270277748835885"/>
                  <c:y val="0.13359303282542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BF-4DD3-9AFD-779ED59520A8}"/>
                </c:ext>
              </c:extLst>
            </c:dLbl>
            <c:dLbl>
              <c:idx val="9"/>
              <c:layout>
                <c:manualLayout>
                  <c:xMode val="edge"/>
                  <c:yMode val="edge"/>
                  <c:x val="0.71229301390569522"/>
                  <c:y val="0.1089496578382141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BF-4DD3-9AFD-779ED59520A8}"/>
                </c:ext>
              </c:extLst>
            </c:dLbl>
            <c:dLbl>
              <c:idx val="10"/>
              <c:layout>
                <c:manualLayout>
                  <c:xMode val="edge"/>
                  <c:yMode val="edge"/>
                  <c:x val="0.78988674491867639"/>
                  <c:y val="0.1219198551999056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BF-4DD3-9AFD-779ED59520A8}"/>
                </c:ext>
              </c:extLst>
            </c:dLbl>
            <c:dLbl>
              <c:idx val="11"/>
              <c:layout>
                <c:manualLayout>
                  <c:xMode val="edge"/>
                  <c:yMode val="edge"/>
                  <c:x val="0.83347872863383565"/>
                  <c:y val="0.147860249923290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BF-4DD3-9AFD-779ED59520A8}"/>
                </c:ext>
              </c:extLst>
            </c:dLbl>
            <c:dLbl>
              <c:idx val="12"/>
              <c:layout>
                <c:manualLayout>
                  <c:xMode val="edge"/>
                  <c:yMode val="edge"/>
                  <c:x val="0.7375763644604858"/>
                  <c:y val="0.236057591982796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FBF-4DD3-9AFD-779ED59520A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'2-BALANCE GENERAL'!$A$4:$A$9</c:f>
              <c:numCache>
                <c:formatCode>General</c:formatCode>
                <c:ptCount val="6"/>
                <c:pt idx="0">
                  <c:v>2015</c:v>
                </c:pt>
                <c:pt idx="1">
                  <c:v>2016</c:v>
                </c:pt>
                <c:pt idx="2">
                  <c:v>2017</c:v>
                </c:pt>
                <c:pt idx="3">
                  <c:v>2018</c:v>
                </c:pt>
                <c:pt idx="4">
                  <c:v>2019</c:v>
                </c:pt>
                <c:pt idx="5">
                  <c:v>2020</c:v>
                </c:pt>
              </c:numCache>
            </c:numRef>
          </c:cat>
          <c:val>
            <c:numRef>
              <c:f>'2-BALANCE GENERAL'!$B$4:$B$9</c:f>
              <c:numCache>
                <c:formatCode>General</c:formatCode>
                <c:ptCount val="6"/>
                <c:pt idx="0">
                  <c:v>31</c:v>
                </c:pt>
                <c:pt idx="1">
                  <c:v>41</c:v>
                </c:pt>
                <c:pt idx="2">
                  <c:v>47</c:v>
                </c:pt>
                <c:pt idx="3">
                  <c:v>27</c:v>
                </c:pt>
                <c:pt idx="4">
                  <c:v>53</c:v>
                </c:pt>
                <c:pt idx="5">
                  <c:v>25</c:v>
                </c:pt>
              </c:numCache>
            </c:numRef>
          </c:val>
          <c:smooth val="0"/>
          <c:extLst>
            <c:ext xmlns:c16="http://schemas.microsoft.com/office/drawing/2014/chart" uri="{C3380CC4-5D6E-409C-BE32-E72D297353CC}">
              <c16:uniqueId val="{0000000D-5FBF-4DD3-9AFD-779ED59520A8}"/>
            </c:ext>
          </c:extLst>
        </c:ser>
        <c:ser>
          <c:idx val="1"/>
          <c:order val="1"/>
          <c:tx>
            <c:strRef>
              <c:f>'2-BALANCE GENERAL'!$C$2</c:f>
              <c:strCache>
                <c:ptCount val="1"/>
                <c:pt idx="0">
                  <c:v>Resueltos</c:v>
                </c:pt>
              </c:strCache>
            </c:strRef>
          </c:tx>
          <c:spPr>
            <a:ln w="22225" cap="rnd">
              <a:solidFill>
                <a:schemeClr val="accent2"/>
              </a:solidFill>
              <a:round/>
            </a:ln>
            <a:effectLst/>
          </c:spPr>
          <c:marker>
            <c:symbol val="none"/>
          </c:marker>
          <c:dLbls>
            <c:dLbl>
              <c:idx val="0"/>
              <c:layout>
                <c:manualLayout>
                  <c:x val="-2.8102122563858599E-2"/>
                  <c:y val="-6.57962423885837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FBF-4DD3-9AFD-779ED59520A8}"/>
                </c:ext>
              </c:extLst>
            </c:dLbl>
            <c:dLbl>
              <c:idx val="1"/>
              <c:layout>
                <c:manualLayout>
                  <c:x val="-2.7327876348157643E-2"/>
                  <c:y val="3.3338150281292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FBF-4DD3-9AFD-779ED59520A8}"/>
                </c:ext>
              </c:extLst>
            </c:dLbl>
            <c:dLbl>
              <c:idx val="2"/>
              <c:layout>
                <c:manualLayout>
                  <c:x val="-1.79217982367589E-2"/>
                  <c:y val="2.72770261111727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FBF-4DD3-9AFD-779ED59520A8}"/>
                </c:ext>
              </c:extLst>
            </c:dLbl>
            <c:dLbl>
              <c:idx val="3"/>
              <c:layout>
                <c:manualLayout>
                  <c:x val="-2.121458415550085E-2"/>
                  <c:y val="3.5517848492078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FBF-4DD3-9AFD-779ED59520A8}"/>
                </c:ext>
              </c:extLst>
            </c:dLbl>
            <c:dLbl>
              <c:idx val="4"/>
              <c:layout>
                <c:manualLayout>
                  <c:x val="-2.8030443634263952E-2"/>
                  <c:y val="3.0356928716357017E-2"/>
                </c:manualLayout>
              </c:layout>
              <c:tx>
                <c:rich>
                  <a:bodyPr/>
                  <a:lstStyle/>
                  <a:p>
                    <a:r>
                      <a:rPr lang="en-US" b="1"/>
                      <a:t>25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5FBF-4DD3-9AFD-779ED59520A8}"/>
                </c:ext>
              </c:extLst>
            </c:dLbl>
            <c:dLbl>
              <c:idx val="5"/>
              <c:layout>
                <c:manualLayout>
                  <c:x val="-3.0702092438667641E-2"/>
                  <c:y val="2.9810808713415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FBF-4DD3-9AFD-779ED59520A8}"/>
                </c:ext>
              </c:extLst>
            </c:dLbl>
            <c:dLbl>
              <c:idx val="6"/>
              <c:layout>
                <c:manualLayout>
                  <c:x val="-0.35680172496408108"/>
                  <c:y val="-0.5001007049485655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FBF-4DD3-9AFD-779ED59520A8}"/>
                </c:ext>
              </c:extLst>
            </c:dLbl>
            <c:dLbl>
              <c:idx val="7"/>
              <c:layout>
                <c:manualLayout>
                  <c:xMode val="edge"/>
                  <c:yMode val="edge"/>
                  <c:x val="0.5876199404803395"/>
                  <c:y val="0.118028795991398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FBF-4DD3-9AFD-779ED59520A8}"/>
                </c:ext>
              </c:extLst>
            </c:dLbl>
            <c:dLbl>
              <c:idx val="8"/>
              <c:layout>
                <c:manualLayout>
                  <c:xMode val="edge"/>
                  <c:yMode val="edge"/>
                  <c:x val="0.67131654921344452"/>
                  <c:y val="8.300926311483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FBF-4DD3-9AFD-779ED59520A8}"/>
                </c:ext>
              </c:extLst>
            </c:dLbl>
            <c:dLbl>
              <c:idx val="9"/>
              <c:layout>
                <c:manualLayout>
                  <c:xMode val="edge"/>
                  <c:yMode val="edge"/>
                  <c:x val="0.75152579924933671"/>
                  <c:y val="8.81973420595069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FBF-4DD3-9AFD-779ED59520A8}"/>
                </c:ext>
              </c:extLst>
            </c:dLbl>
            <c:dLbl>
              <c:idx val="10"/>
              <c:layout>
                <c:manualLayout>
                  <c:xMode val="edge"/>
                  <c:yMode val="edge"/>
                  <c:x val="0.81255457645055895"/>
                  <c:y val="0.1050585986297058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FBF-4DD3-9AFD-779ED59520A8}"/>
                </c:ext>
              </c:extLst>
            </c:dLbl>
            <c:dLbl>
              <c:idx val="12"/>
              <c:layout>
                <c:manualLayout>
                  <c:xMode val="edge"/>
                  <c:yMode val="edge"/>
                  <c:x val="0.73844820413479129"/>
                  <c:y val="0.17120660517433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FBF-4DD3-9AFD-779ED59520A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'2-BALANCE GENERAL'!$A$4:$A$9</c:f>
              <c:numCache>
                <c:formatCode>General</c:formatCode>
                <c:ptCount val="6"/>
                <c:pt idx="0">
                  <c:v>2015</c:v>
                </c:pt>
                <c:pt idx="1">
                  <c:v>2016</c:v>
                </c:pt>
                <c:pt idx="2">
                  <c:v>2017</c:v>
                </c:pt>
                <c:pt idx="3">
                  <c:v>2018</c:v>
                </c:pt>
                <c:pt idx="4">
                  <c:v>2019</c:v>
                </c:pt>
                <c:pt idx="5">
                  <c:v>2020</c:v>
                </c:pt>
              </c:numCache>
            </c:numRef>
          </c:cat>
          <c:val>
            <c:numRef>
              <c:f>'2-BALANCE GENERAL'!$C$4:$C$9</c:f>
              <c:numCache>
                <c:formatCode>General</c:formatCode>
                <c:ptCount val="6"/>
                <c:pt idx="0">
                  <c:v>28</c:v>
                </c:pt>
                <c:pt idx="1">
                  <c:v>32</c:v>
                </c:pt>
                <c:pt idx="2">
                  <c:v>59</c:v>
                </c:pt>
                <c:pt idx="3">
                  <c:v>25</c:v>
                </c:pt>
                <c:pt idx="4">
                  <c:v>44</c:v>
                </c:pt>
                <c:pt idx="5">
                  <c:v>36</c:v>
                </c:pt>
              </c:numCache>
            </c:numRef>
          </c:val>
          <c:smooth val="0"/>
          <c:extLst>
            <c:ext xmlns:c16="http://schemas.microsoft.com/office/drawing/2014/chart" uri="{C3380CC4-5D6E-409C-BE32-E72D297353CC}">
              <c16:uniqueId val="{0000001A-5FBF-4DD3-9AFD-779ED59520A8}"/>
            </c:ext>
          </c:extLst>
        </c:ser>
        <c:ser>
          <c:idx val="2"/>
          <c:order val="2"/>
          <c:tx>
            <c:strRef>
              <c:f>'2-BALANCE GENERAL'!$D$2</c:f>
              <c:strCache>
                <c:ptCount val="1"/>
                <c:pt idx="0">
                  <c:v>Circulante Activo</c:v>
                </c:pt>
              </c:strCache>
            </c:strRef>
          </c:tx>
          <c:spPr>
            <a:ln w="22225" cap="rnd">
              <a:solidFill>
                <a:schemeClr val="accent3"/>
              </a:solidFill>
              <a:round/>
            </a:ln>
            <a:effectLst/>
          </c:spPr>
          <c:marker>
            <c:symbol val="none"/>
          </c:marker>
          <c:dLbls>
            <c:dLbl>
              <c:idx val="0"/>
              <c:layout>
                <c:manualLayout>
                  <c:x val="-2.0661294823021811E-2"/>
                  <c:y val="2.5514976970291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FBF-4DD3-9AFD-779ED59520A8}"/>
                </c:ext>
              </c:extLst>
            </c:dLbl>
            <c:dLbl>
              <c:idx val="1"/>
              <c:layout>
                <c:manualLayout>
                  <c:x val="-2.3902894831272108E-2"/>
                  <c:y val="1.6670690643602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FBF-4DD3-9AFD-779ED59520A8}"/>
                </c:ext>
              </c:extLst>
            </c:dLbl>
            <c:dLbl>
              <c:idx val="2"/>
              <c:layout>
                <c:manualLayout>
                  <c:x val="-2.376682730426781E-2"/>
                  <c:y val="3.23360350412472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FBF-4DD3-9AFD-779ED59520A8}"/>
                </c:ext>
              </c:extLst>
            </c:dLbl>
            <c:dLbl>
              <c:idx val="3"/>
              <c:layout>
                <c:manualLayout>
                  <c:x val="-2.2918127023231871E-2"/>
                  <c:y val="3.14567439770418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5FBF-4DD3-9AFD-779ED59520A8}"/>
                </c:ext>
              </c:extLst>
            </c:dLbl>
            <c:dLbl>
              <c:idx val="4"/>
              <c:layout>
                <c:manualLayout>
                  <c:x val="-1.9866934698533668E-2"/>
                  <c:y val="2.4228002628076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FBF-4DD3-9AFD-779ED59520A8}"/>
                </c:ext>
              </c:extLst>
            </c:dLbl>
            <c:dLbl>
              <c:idx val="5"/>
              <c:layout>
                <c:manualLayout>
                  <c:x val="-1.3869404661886183E-2"/>
                  <c:y val="1.95818392419258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5FBF-4DD3-9AFD-779ED59520A8}"/>
                </c:ext>
              </c:extLst>
            </c:dLbl>
            <c:dLbl>
              <c:idx val="6"/>
              <c:layout>
                <c:manualLayout>
                  <c:x val="-0.32105629831764776"/>
                  <c:y val="-0.643846237521501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5FBF-4DD3-9AFD-779ED59520A8}"/>
                </c:ext>
              </c:extLst>
            </c:dLbl>
            <c:dLbl>
              <c:idx val="7"/>
              <c:layout>
                <c:manualLayout>
                  <c:xMode val="edge"/>
                  <c:yMode val="edge"/>
                  <c:x val="0.58500442145743026"/>
                  <c:y val="9.59794604765217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5FBF-4DD3-9AFD-779ED59520A8}"/>
                </c:ext>
              </c:extLst>
            </c:dLbl>
            <c:dLbl>
              <c:idx val="8"/>
              <c:layout>
                <c:manualLayout>
                  <c:xMode val="edge"/>
                  <c:yMode val="edge"/>
                  <c:x val="0.64603319865865261"/>
                  <c:y val="0.147860249923290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5FBF-4DD3-9AFD-779ED59520A8}"/>
                </c:ext>
              </c:extLst>
            </c:dLbl>
            <c:dLbl>
              <c:idx val="9"/>
              <c:layout>
                <c:manualLayout>
                  <c:xMode val="edge"/>
                  <c:yMode val="edge"/>
                  <c:x val="0.71926773130011912"/>
                  <c:y val="0.1621274670211516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5FBF-4DD3-9AFD-779ED59520A8}"/>
                </c:ext>
              </c:extLst>
            </c:dLbl>
            <c:dLbl>
              <c:idx val="10"/>
              <c:layout>
                <c:manualLayout>
                  <c:xMode val="edge"/>
                  <c:yMode val="edge"/>
                  <c:x val="0.8212729731935926"/>
                  <c:y val="0.188067861744535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5FBF-4DD3-9AFD-779ED59520A8}"/>
                </c:ext>
              </c:extLst>
            </c:dLbl>
            <c:dLbl>
              <c:idx val="11"/>
              <c:layout>
                <c:manualLayout>
                  <c:xMode val="edge"/>
                  <c:yMode val="edge"/>
                  <c:x val="0.84394080472547528"/>
                  <c:y val="0.223087394621104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5FBF-4DD3-9AFD-779ED59520A8}"/>
                </c:ext>
              </c:extLst>
            </c:dLbl>
            <c:dLbl>
              <c:idx val="12"/>
              <c:layout>
                <c:manualLayout>
                  <c:xMode val="edge"/>
                  <c:yMode val="edge"/>
                  <c:x val="0.74367924218061099"/>
                  <c:y val="0.259403947233843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5FBF-4DD3-9AFD-779ED59520A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'2-BALANCE GENERAL'!$A$4:$A$9</c:f>
              <c:numCache>
                <c:formatCode>General</c:formatCode>
                <c:ptCount val="6"/>
                <c:pt idx="0">
                  <c:v>2015</c:v>
                </c:pt>
                <c:pt idx="1">
                  <c:v>2016</c:v>
                </c:pt>
                <c:pt idx="2">
                  <c:v>2017</c:v>
                </c:pt>
                <c:pt idx="3">
                  <c:v>2018</c:v>
                </c:pt>
                <c:pt idx="4">
                  <c:v>2019</c:v>
                </c:pt>
                <c:pt idx="5">
                  <c:v>2020</c:v>
                </c:pt>
              </c:numCache>
            </c:numRef>
          </c:cat>
          <c:val>
            <c:numRef>
              <c:f>'2-BALANCE GENERAL'!$D$4:$D$9</c:f>
              <c:numCache>
                <c:formatCode>General</c:formatCode>
                <c:ptCount val="6"/>
                <c:pt idx="0">
                  <c:v>10</c:v>
                </c:pt>
                <c:pt idx="1">
                  <c:v>19</c:v>
                </c:pt>
                <c:pt idx="2">
                  <c:v>7</c:v>
                </c:pt>
                <c:pt idx="3">
                  <c:v>9</c:v>
                </c:pt>
                <c:pt idx="4">
                  <c:v>18</c:v>
                </c:pt>
                <c:pt idx="5">
                  <c:v>7</c:v>
                </c:pt>
              </c:numCache>
            </c:numRef>
          </c:val>
          <c:smooth val="0"/>
          <c:extLst>
            <c:ext xmlns:c16="http://schemas.microsoft.com/office/drawing/2014/chart" uri="{C3380CC4-5D6E-409C-BE32-E72D297353CC}">
              <c16:uniqueId val="{00000028-5FBF-4DD3-9AFD-779ED59520A8}"/>
            </c:ext>
          </c:extLst>
        </c:ser>
        <c:dLbls>
          <c:showLegendKey val="0"/>
          <c:showVal val="1"/>
          <c:showCatName val="0"/>
          <c:showSerName val="0"/>
          <c:showPercent val="0"/>
          <c:showBubbleSize val="0"/>
        </c:dLbls>
        <c:smooth val="0"/>
        <c:axId val="103677312"/>
        <c:axId val="107707392"/>
      </c:lineChart>
      <c:catAx>
        <c:axId val="10367731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100" b="1" i="0" u="none" strike="noStrike" kern="1200" cap="none" spc="0" normalizeH="0" baseline="0">
                <a:solidFill>
                  <a:schemeClr val="tx1"/>
                </a:solidFill>
                <a:latin typeface="+mn-lt"/>
                <a:ea typeface="+mn-ea"/>
                <a:cs typeface="+mn-cs"/>
              </a:defRPr>
            </a:pPr>
            <a:endParaRPr lang="es-CR"/>
          </a:p>
        </c:txPr>
        <c:crossAx val="107707392"/>
        <c:crosses val="autoZero"/>
        <c:auto val="1"/>
        <c:lblAlgn val="ctr"/>
        <c:lblOffset val="100"/>
        <c:tickLblSkip val="1"/>
        <c:tickMarkSkip val="1"/>
        <c:noMultiLvlLbl val="0"/>
      </c:catAx>
      <c:valAx>
        <c:axId val="10770739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100" b="1" i="0" u="none" strike="noStrike" kern="1200" baseline="0">
                <a:solidFill>
                  <a:schemeClr val="tx1"/>
                </a:solidFill>
                <a:latin typeface="+mn-lt"/>
                <a:ea typeface="+mn-ea"/>
                <a:cs typeface="+mn-cs"/>
              </a:defRPr>
            </a:pPr>
            <a:endParaRPr lang="es-CR"/>
          </a:p>
        </c:txPr>
        <c:crossAx val="10367731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5.3970990797987957E-2"/>
          <c:y val="0.96017626603781125"/>
          <c:w val="0.91791322922343532"/>
          <c:h val="3.87399405652805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spc="50" baseline="0">
                <a:solidFill>
                  <a:schemeClr val="tx1"/>
                </a:solidFill>
                <a:latin typeface="+mn-lt"/>
                <a:ea typeface="+mn-ea"/>
                <a:cs typeface="+mn-cs"/>
              </a:defRPr>
            </a:pPr>
            <a:r>
              <a:rPr lang="es-ES" b="0">
                <a:solidFill>
                  <a:schemeClr val="tx1"/>
                </a:solidFill>
              </a:rPr>
              <a:t>Asuntos ingresados por tipo de causa en el 2020
PENAL JUVENIL</a:t>
            </a:r>
          </a:p>
        </c:rich>
      </c:tx>
      <c:layout>
        <c:manualLayout>
          <c:xMode val="edge"/>
          <c:yMode val="edge"/>
          <c:x val="0.1416843896214377"/>
          <c:y val="2.4754807719098808E-2"/>
        </c:manualLayout>
      </c:layout>
      <c:overlay val="0"/>
      <c:spPr>
        <a:noFill/>
        <a:ln>
          <a:noFill/>
        </a:ln>
        <a:effectLst/>
      </c:spPr>
      <c:txPr>
        <a:bodyPr rot="0" spcFirstLastPara="1" vertOverflow="ellipsis" vert="horz" wrap="square" anchor="ctr" anchorCtr="1"/>
        <a:lstStyle/>
        <a:p>
          <a:pPr>
            <a:defRPr sz="1800" b="0" i="0" u="none" strike="noStrike" kern="1200" cap="all" spc="50" baseline="0">
              <a:solidFill>
                <a:schemeClr val="tx1"/>
              </a:solidFill>
              <a:latin typeface="+mn-lt"/>
              <a:ea typeface="+mn-ea"/>
              <a:cs typeface="+mn-cs"/>
            </a:defRPr>
          </a:pPr>
          <a:endParaRPr lang="es-CR"/>
        </a:p>
      </c:tx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285811862408284E-2"/>
          <c:y val="0.20244398192264185"/>
          <c:w val="0.93733844200993377"/>
          <c:h val="0.67129425302728873"/>
        </c:manualLayout>
      </c:layout>
      <c:bar3DChart>
        <c:barDir val="col"/>
        <c:grouping val="clustered"/>
        <c:varyColors val="0"/>
        <c:ser>
          <c:idx val="0"/>
          <c:order val="0"/>
          <c:tx>
            <c:strRef>
              <c:f>'3-Ingresadoxtipocausa'!$A$2</c:f>
              <c:strCache>
                <c:ptCount val="1"/>
                <c:pt idx="0">
                  <c:v>Casación  </c:v>
                </c:pt>
              </c:strCache>
            </c:strRef>
          </c:tx>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4.2097190526727814E-2"/>
                  <c:y val="-3.042295006274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88-49E8-88A6-7CFC2BA2C825}"/>
                </c:ext>
              </c:extLst>
            </c:dLbl>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'3-Ingresadoxtipocausa'!$B$2</c:f>
              <c:numCache>
                <c:formatCode>General</c:formatCode>
                <c:ptCount val="1"/>
                <c:pt idx="0">
                  <c:v>17</c:v>
                </c:pt>
              </c:numCache>
            </c:numRef>
          </c:val>
          <c:extLst>
            <c:ext xmlns:c16="http://schemas.microsoft.com/office/drawing/2014/chart" uri="{C3380CC4-5D6E-409C-BE32-E72D297353CC}">
              <c16:uniqueId val="{00000001-9F88-49E8-88A6-7CFC2BA2C825}"/>
            </c:ext>
          </c:extLst>
        </c:ser>
        <c:ser>
          <c:idx val="1"/>
          <c:order val="1"/>
          <c:tx>
            <c:strRef>
              <c:f>'3-Ingresadoxtipocausa'!$A$3</c:f>
              <c:strCache>
                <c:ptCount val="1"/>
                <c:pt idx="0">
                  <c:v>Revisión   </c:v>
                </c:pt>
              </c:strCache>
            </c:strRef>
          </c:tx>
          <c:spPr>
            <a:gradFill>
              <a:gsLst>
                <a:gs pos="100000">
                  <a:schemeClr val="accent2">
                    <a:alpha val="0"/>
                  </a:schemeClr>
                </a:gs>
                <a:gs pos="50000">
                  <a:schemeClr val="accent2"/>
                </a:gs>
              </a:gsLst>
              <a:lin ang="5400000" scaled="0"/>
            </a:gradFill>
            <a:ln>
              <a:noFill/>
            </a:ln>
            <a:effectLst/>
            <a:sp3d/>
          </c:spPr>
          <c:invertIfNegative val="0"/>
          <c:dLbls>
            <c:dLbl>
              <c:idx val="0"/>
              <c:layout>
                <c:manualLayout>
                  <c:x val="2.1387887666728649E-2"/>
                  <c:y val="-5.6890546075351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88-49E8-88A6-7CFC2BA2C825}"/>
                </c:ext>
              </c:extLst>
            </c:dLbl>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'3-Ingresadoxtipocausa'!$B$3</c:f>
              <c:numCache>
                <c:formatCode>General</c:formatCode>
                <c:ptCount val="1"/>
                <c:pt idx="0">
                  <c:v>2</c:v>
                </c:pt>
              </c:numCache>
            </c:numRef>
          </c:val>
          <c:extLst>
            <c:ext xmlns:c16="http://schemas.microsoft.com/office/drawing/2014/chart" uri="{C3380CC4-5D6E-409C-BE32-E72D297353CC}">
              <c16:uniqueId val="{00000003-9F88-49E8-88A6-7CFC2BA2C825}"/>
            </c:ext>
          </c:extLst>
        </c:ser>
        <c:ser>
          <c:idx val="2"/>
          <c:order val="2"/>
          <c:tx>
            <c:strRef>
              <c:f>'3-Ingresadoxtipocausa'!$A$4</c:f>
              <c:strCache>
                <c:ptCount val="1"/>
                <c:pt idx="0">
                  <c:v>Conflicto Competencia</c:v>
                </c:pt>
              </c:strCache>
            </c:strRef>
          </c:tx>
          <c:spPr>
            <a:gradFill>
              <a:gsLst>
                <a:gs pos="100000">
                  <a:schemeClr val="accent3">
                    <a:alpha val="0"/>
                  </a:schemeClr>
                </a:gs>
                <a:gs pos="50000">
                  <a:schemeClr val="accent3"/>
                </a:gs>
              </a:gsLst>
              <a:lin ang="5400000" scaled="0"/>
            </a:gradFill>
            <a:ln>
              <a:noFill/>
            </a:ln>
            <a:effectLst/>
            <a:sp3d/>
          </c:spPr>
          <c:invertIfNegative val="0"/>
          <c:dLbls>
            <c:dLbl>
              <c:idx val="0"/>
              <c:layout>
                <c:manualLayout>
                  <c:x val="3.9837193716887452E-2"/>
                  <c:y val="-4.0257570272651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88-49E8-88A6-7CFC2BA2C825}"/>
                </c:ext>
              </c:extLst>
            </c:dLbl>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'3-Ingresadoxtipocausa'!$B$4</c:f>
              <c:numCache>
                <c:formatCode>General</c:formatCode>
                <c:ptCount val="1"/>
                <c:pt idx="0">
                  <c:v>6</c:v>
                </c:pt>
              </c:numCache>
            </c:numRef>
          </c:val>
          <c:extLst>
            <c:ext xmlns:c16="http://schemas.microsoft.com/office/drawing/2014/chart" uri="{C3380CC4-5D6E-409C-BE32-E72D297353CC}">
              <c16:uniqueId val="{00000005-9F88-49E8-88A6-7CFC2BA2C825}"/>
            </c:ext>
          </c:extLst>
        </c:ser>
        <c:dLbls>
          <c:showLegendKey val="0"/>
          <c:showVal val="1"/>
          <c:showCatName val="0"/>
          <c:showSerName val="0"/>
          <c:showPercent val="0"/>
          <c:showBubbleSize val="0"/>
        </c:dLbls>
        <c:gapWidth val="150"/>
        <c:gapDepth val="0"/>
        <c:shape val="box"/>
        <c:axId val="81529088"/>
        <c:axId val="81543168"/>
        <c:axId val="0"/>
      </c:bar3DChart>
      <c:catAx>
        <c:axId val="81529088"/>
        <c:scaling>
          <c:orientation val="minMax"/>
        </c:scaling>
        <c:delete val="1"/>
        <c:axPos val="b"/>
        <c:numFmt formatCode="General" sourceLinked="1"/>
        <c:majorTickMark val="none"/>
        <c:minorTickMark val="none"/>
        <c:tickLblPos val="low"/>
        <c:crossAx val="81543168"/>
        <c:crosses val="autoZero"/>
        <c:auto val="1"/>
        <c:lblAlgn val="ctr"/>
        <c:lblOffset val="100"/>
        <c:tickLblSkip val="1"/>
        <c:tickMarkSkip val="1"/>
        <c:noMultiLvlLbl val="0"/>
      </c:catAx>
      <c:valAx>
        <c:axId val="815431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s-CR"/>
          </a:p>
        </c:txPr>
        <c:crossAx val="81529088"/>
        <c:crosses val="autoZero"/>
        <c:crossBetween val="between"/>
      </c:valAx>
      <c:spPr>
        <a:solidFill>
          <a:schemeClr val="tx2">
            <a:lumMod val="40000"/>
            <a:lumOff val="60000"/>
          </a:schemeClr>
        </a:solidFill>
        <a:ln>
          <a:noFill/>
        </a:ln>
        <a:effectLst/>
      </c:spPr>
    </c:plotArea>
    <c:legend>
      <c:legendPos val="b"/>
      <c:layout>
        <c:manualLayout>
          <c:xMode val="edge"/>
          <c:yMode val="edge"/>
          <c:x val="2.2617281304320173E-2"/>
          <c:y val="0.95952739187856295"/>
          <c:w val="0.95901894653640429"/>
          <c:h val="2.985689686878312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CR"/>
        </a:p>
      </c:txPr>
    </c:legend>
    <c:plotVisOnly val="1"/>
    <c:dispBlanksAs val="gap"/>
    <c:showDLblsOverMax val="0"/>
  </c:chart>
  <c:spPr>
    <a:solidFill>
      <a:schemeClr val="tx2">
        <a:lumMod val="40000"/>
        <a:lumOff val="6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20" baseline="0">
                <a:solidFill>
                  <a:schemeClr val="tx1"/>
                </a:solidFill>
                <a:latin typeface="+mn-lt"/>
                <a:ea typeface="+mn-ea"/>
                <a:cs typeface="+mn-cs"/>
              </a:defRPr>
            </a:pPr>
            <a:r>
              <a:rPr lang="es-ES" sz="1600" b="1">
                <a:solidFill>
                  <a:schemeClr val="tx1"/>
                </a:solidFill>
              </a:rPr>
              <a:t>Asuntos votados y pendientes en Casación, Revisión y Conflictos de Competencia</a:t>
            </a:r>
          </a:p>
        </c:rich>
      </c:tx>
      <c:overlay val="0"/>
      <c:spPr>
        <a:noFill/>
        <a:ln>
          <a:noFill/>
        </a:ln>
        <a:effectLst/>
      </c:spPr>
      <c:txPr>
        <a:bodyPr rot="0" spcFirstLastPara="1" vertOverflow="ellipsis" vert="horz" wrap="square" anchor="ctr" anchorCtr="1"/>
        <a:lstStyle/>
        <a:p>
          <a:pPr>
            <a:defRPr sz="1600" b="1" i="0" u="none" strike="noStrike" kern="1200" cap="none" spc="20" baseline="0">
              <a:solidFill>
                <a:schemeClr val="tx1"/>
              </a:solidFill>
              <a:latin typeface="+mn-lt"/>
              <a:ea typeface="+mn-ea"/>
              <a:cs typeface="+mn-cs"/>
            </a:defRPr>
          </a:pPr>
          <a:endParaRPr lang="es-CR"/>
        </a:p>
      </c:tx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20908466563357E-2"/>
          <c:y val="0.23442809780356424"/>
          <c:w val="0.92905716113431358"/>
          <c:h val="0.50957366592912146"/>
        </c:manualLayout>
      </c:layout>
      <c:bar3DChart>
        <c:barDir val="col"/>
        <c:grouping val="clustered"/>
        <c:varyColors val="0"/>
        <c:ser>
          <c:idx val="0"/>
          <c:order val="0"/>
          <c:tx>
            <c:strRef>
              <c:f>'Votados PEND. Cas Rev'!$A$2</c:f>
              <c:strCache>
                <c:ptCount val="1"/>
                <c:pt idx="0">
                  <c:v>Vot. Cas.</c:v>
                </c:pt>
              </c:strCache>
            </c:strRef>
          </c:tx>
          <c:spPr>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10800000" scaled="1"/>
              <a:tileRect/>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invertIfNegative val="0"/>
          <c:dLbls>
            <c:dLbl>
              <c:idx val="0"/>
              <c:layout>
                <c:manualLayout>
                  <c:x val="1.9238755831828977E-2"/>
                  <c:y val="-2.6404893657814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CE-4B68-8C1A-BA314EF8357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'Votados PEND. Cas Rev'!$B$2</c:f>
              <c:numCache>
                <c:formatCode>General</c:formatCode>
                <c:ptCount val="1"/>
                <c:pt idx="0">
                  <c:v>30</c:v>
                </c:pt>
              </c:numCache>
            </c:numRef>
          </c:val>
          <c:extLst>
            <c:ext xmlns:c16="http://schemas.microsoft.com/office/drawing/2014/chart" uri="{C3380CC4-5D6E-409C-BE32-E72D297353CC}">
              <c16:uniqueId val="{00000001-5FCE-4B68-8C1A-BA314EF83574}"/>
            </c:ext>
          </c:extLst>
        </c:ser>
        <c:ser>
          <c:idx val="1"/>
          <c:order val="1"/>
          <c:tx>
            <c:strRef>
              <c:f>'Votados PEND. Cas Rev'!$A$3</c:f>
              <c:strCache>
                <c:ptCount val="1"/>
                <c:pt idx="0">
                  <c:v>Pend. Cas.</c:v>
                </c:pt>
              </c:strCache>
            </c:strRef>
          </c:tx>
          <c:spPr>
            <a:gradFill flip="none" rotWithShape="1">
              <a:gsLst>
                <a:gs pos="0">
                  <a:schemeClr val="accent3">
                    <a:tint val="66000"/>
                    <a:satMod val="160000"/>
                  </a:schemeClr>
                </a:gs>
                <a:gs pos="50000">
                  <a:schemeClr val="accent3">
                    <a:tint val="44500"/>
                    <a:satMod val="160000"/>
                  </a:schemeClr>
                </a:gs>
                <a:gs pos="100000">
                  <a:schemeClr val="accent3">
                    <a:tint val="23500"/>
                    <a:satMod val="160000"/>
                  </a:schemeClr>
                </a:gs>
              </a:gsLst>
              <a:path path="circle">
                <a:fillToRect l="100000" t="100000"/>
              </a:path>
              <a:tileRect r="-100000" b="-100000"/>
            </a:gradFill>
            <a:ln w="9525" cap="flat" cmpd="sng" algn="ctr">
              <a:solidFill>
                <a:schemeClr val="accent2">
                  <a:shade val="95000"/>
                </a:schemeClr>
              </a:solidFill>
              <a:round/>
            </a:ln>
            <a:effectLst>
              <a:outerShdw blurRad="40000" dist="20000" dir="5400000" rotWithShape="0">
                <a:srgbClr val="000000">
                  <a:alpha val="38000"/>
                </a:srgbClr>
              </a:outerShdw>
            </a:effectLst>
            <a:sp3d contourW="9525">
              <a:contourClr>
                <a:schemeClr val="accent2">
                  <a:shade val="95000"/>
                </a:schemeClr>
              </a:contourClr>
            </a:sp3d>
          </c:spPr>
          <c:invertIfNegative val="0"/>
          <c:dLbls>
            <c:dLbl>
              <c:idx val="0"/>
              <c:layout>
                <c:manualLayout>
                  <c:x val="2.1948274649420417E-2"/>
                  <c:y val="-4.04131709606828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CE-4B68-8C1A-BA314EF8357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'Votados PEND. Cas Rev'!$B$3</c:f>
              <c:numCache>
                <c:formatCode>General</c:formatCode>
                <c:ptCount val="1"/>
                <c:pt idx="0">
                  <c:v>5</c:v>
                </c:pt>
              </c:numCache>
            </c:numRef>
          </c:val>
          <c:extLst>
            <c:ext xmlns:c16="http://schemas.microsoft.com/office/drawing/2014/chart" uri="{C3380CC4-5D6E-409C-BE32-E72D297353CC}">
              <c16:uniqueId val="{00000003-5FCE-4B68-8C1A-BA314EF83574}"/>
            </c:ext>
          </c:extLst>
        </c:ser>
        <c:ser>
          <c:idx val="3"/>
          <c:order val="2"/>
          <c:tx>
            <c:strRef>
              <c:f>'Votados PEND. Cas Rev'!$A$5</c:f>
              <c:strCache>
                <c:ptCount val="1"/>
                <c:pt idx="0">
                  <c:v>Vot. Rev.</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a:sp3d contourW="9525">
              <a:contourClr>
                <a:schemeClr val="accent4">
                  <a:shade val="95000"/>
                </a:schemeClr>
              </a:contourClr>
            </a:sp3d>
          </c:spPr>
          <c:invertIfNegative val="0"/>
          <c:dLbls>
            <c:dLbl>
              <c:idx val="0"/>
              <c:layout>
                <c:manualLayout>
                  <c:x val="1.0087850035334269E-2"/>
                  <c:y val="-4.1447007411227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CE-4B68-8C1A-BA314EF8357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'Votados PEND. Cas Rev'!$B$5</c:f>
              <c:numCache>
                <c:formatCode>General</c:formatCode>
                <c:ptCount val="1"/>
                <c:pt idx="0">
                  <c:v>0</c:v>
                </c:pt>
              </c:numCache>
            </c:numRef>
          </c:val>
          <c:extLst>
            <c:ext xmlns:c16="http://schemas.microsoft.com/office/drawing/2014/chart" uri="{C3380CC4-5D6E-409C-BE32-E72D297353CC}">
              <c16:uniqueId val="{00000005-5FCE-4B68-8C1A-BA314EF83574}"/>
            </c:ext>
          </c:extLst>
        </c:ser>
        <c:ser>
          <c:idx val="4"/>
          <c:order val="3"/>
          <c:tx>
            <c:strRef>
              <c:f>'Votados PEND. Cas Rev'!$A$6</c:f>
              <c:strCache>
                <c:ptCount val="1"/>
                <c:pt idx="0">
                  <c:v>Pend. Rev.</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a:sp3d contourW="9525">
              <a:contourClr>
                <a:schemeClr val="accent5">
                  <a:shade val="95000"/>
                </a:schemeClr>
              </a:contourClr>
            </a:sp3d>
          </c:spPr>
          <c:invertIfNegative val="0"/>
          <c:dLbls>
            <c:dLbl>
              <c:idx val="0"/>
              <c:layout>
                <c:manualLayout>
                  <c:x val="1.0099237382651711E-2"/>
                  <c:y val="-3.0619905194470415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CE-4B68-8C1A-BA314EF835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'Votados PEND. Cas Rev'!$B$6</c:f>
              <c:numCache>
                <c:formatCode>General</c:formatCode>
                <c:ptCount val="1"/>
                <c:pt idx="0">
                  <c:v>2</c:v>
                </c:pt>
              </c:numCache>
            </c:numRef>
          </c:val>
          <c:extLst>
            <c:ext xmlns:c16="http://schemas.microsoft.com/office/drawing/2014/chart" uri="{C3380CC4-5D6E-409C-BE32-E72D297353CC}">
              <c16:uniqueId val="{00000007-5FCE-4B68-8C1A-BA314EF83574}"/>
            </c:ext>
          </c:extLst>
        </c:ser>
        <c:ser>
          <c:idx val="6"/>
          <c:order val="4"/>
          <c:tx>
            <c:strRef>
              <c:f>'Votados PEND. Cas Rev'!$A$8</c:f>
              <c:strCache>
                <c:ptCount val="1"/>
                <c:pt idx="0">
                  <c:v>Vot. Conflicto Competencia</c:v>
                </c:pt>
              </c:strCache>
            </c:strRef>
          </c:tx>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a:sp3d contourW="9525">
              <a:contourClr>
                <a:schemeClr val="accent1">
                  <a:lumMod val="60000"/>
                  <a:shade val="95000"/>
                </a:schemeClr>
              </a:contourClr>
            </a:sp3d>
          </c:spPr>
          <c:invertIfNegative val="0"/>
          <c:dLbls>
            <c:dLbl>
              <c:idx val="0"/>
              <c:layout>
                <c:manualLayout>
                  <c:x val="1.5853364458749256E-2"/>
                  <c:y val="-2.3738405495282864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CE-4B68-8C1A-BA314EF835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'Votados PEND. Cas Rev'!$B$8</c:f>
              <c:numCache>
                <c:formatCode>General</c:formatCode>
                <c:ptCount val="1"/>
                <c:pt idx="0">
                  <c:v>6</c:v>
                </c:pt>
              </c:numCache>
            </c:numRef>
          </c:val>
          <c:extLst>
            <c:ext xmlns:c16="http://schemas.microsoft.com/office/drawing/2014/chart" uri="{C3380CC4-5D6E-409C-BE32-E72D297353CC}">
              <c16:uniqueId val="{00000009-5FCE-4B68-8C1A-BA314EF83574}"/>
            </c:ext>
          </c:extLst>
        </c:ser>
        <c:ser>
          <c:idx val="7"/>
          <c:order val="5"/>
          <c:tx>
            <c:strRef>
              <c:f>'Votados PEND. Cas Rev'!$A$9</c:f>
              <c:strCache>
                <c:ptCount val="1"/>
                <c:pt idx="0">
                  <c:v>Pend. Conflicto Competencia</c:v>
                </c:pt>
              </c:strCache>
            </c:strRef>
          </c:tx>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w="9525" cap="flat" cmpd="sng" algn="ctr">
              <a:solidFill>
                <a:schemeClr val="accent2">
                  <a:lumMod val="60000"/>
                  <a:shade val="95000"/>
                </a:schemeClr>
              </a:solidFill>
              <a:round/>
            </a:ln>
            <a:effectLst>
              <a:outerShdw blurRad="40000" dist="20000" dir="5400000" rotWithShape="0">
                <a:srgbClr val="000000">
                  <a:alpha val="38000"/>
                </a:srgbClr>
              </a:outerShdw>
            </a:effectLst>
            <a:sp3d contourW="9525">
              <a:contourClr>
                <a:schemeClr val="accent2">
                  <a:lumMod val="60000"/>
                  <a:shade val="95000"/>
                </a:schemeClr>
              </a:contourClr>
            </a:sp3d>
          </c:spPr>
          <c:invertIfNegative val="0"/>
          <c:dLbls>
            <c:dLbl>
              <c:idx val="0"/>
              <c:layout>
                <c:manualLayout>
                  <c:x val="2.3419921829209808E-2"/>
                  <c:y val="-3.057924591919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CE-4B68-8C1A-BA314EF8357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'Votados PEND. Cas Rev'!$B$9</c:f>
              <c:numCache>
                <c:formatCode>General</c:formatCode>
                <c:ptCount val="1"/>
                <c:pt idx="0">
                  <c:v>0</c:v>
                </c:pt>
              </c:numCache>
            </c:numRef>
          </c:val>
          <c:extLst>
            <c:ext xmlns:c16="http://schemas.microsoft.com/office/drawing/2014/chart" uri="{C3380CC4-5D6E-409C-BE32-E72D297353CC}">
              <c16:uniqueId val="{0000000B-5FCE-4B68-8C1A-BA314EF83574}"/>
            </c:ext>
          </c:extLst>
        </c:ser>
        <c:dLbls>
          <c:showLegendKey val="0"/>
          <c:showVal val="1"/>
          <c:showCatName val="0"/>
          <c:showSerName val="0"/>
          <c:showPercent val="0"/>
          <c:showBubbleSize val="0"/>
        </c:dLbls>
        <c:gapWidth val="150"/>
        <c:shape val="box"/>
        <c:axId val="81652352"/>
        <c:axId val="82264448"/>
        <c:axId val="0"/>
      </c:bar3DChart>
      <c:catAx>
        <c:axId val="81652352"/>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R"/>
          </a:p>
        </c:txPr>
        <c:crossAx val="82264448"/>
        <c:crosses val="autoZero"/>
        <c:auto val="1"/>
        <c:lblAlgn val="ctr"/>
        <c:lblOffset val="100"/>
        <c:tickLblSkip val="1"/>
        <c:tickMarkSkip val="1"/>
        <c:noMultiLvlLbl val="0"/>
      </c:catAx>
      <c:valAx>
        <c:axId val="8226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200" b="1" i="0" u="none" strike="noStrike" kern="1200" baseline="0">
                <a:solidFill>
                  <a:schemeClr val="tx1"/>
                </a:solidFill>
                <a:latin typeface="+mn-lt"/>
                <a:ea typeface="+mn-ea"/>
                <a:cs typeface="+mn-cs"/>
              </a:defRPr>
            </a:pPr>
            <a:endParaRPr lang="es-CR"/>
          </a:p>
        </c:txPr>
        <c:crossAx val="81652352"/>
        <c:crosses val="autoZero"/>
        <c:crossBetween val="between"/>
      </c:valAx>
      <c:spPr>
        <a:noFill/>
        <a:ln>
          <a:noFill/>
        </a:ln>
        <a:effectLst/>
      </c:spPr>
    </c:plotArea>
    <c:legend>
      <c:legendPos val="b"/>
      <c:layout>
        <c:manualLayout>
          <c:xMode val="edge"/>
          <c:yMode val="edge"/>
          <c:x val="6.0604132267388254E-3"/>
          <c:y val="0.86143864416192306"/>
          <c:w val="0.98787917354652233"/>
          <c:h val="0.12596689739978975"/>
        </c:manualLayout>
      </c:layout>
      <c:overlay val="0"/>
      <c:spPr>
        <a:solidFill>
          <a:schemeClr val="bg2"/>
        </a:solid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R"/>
        </a:p>
      </c:txPr>
    </c:legend>
    <c:plotVisOnly val="1"/>
    <c:dispBlanksAs val="gap"/>
    <c:showDLblsOverMax val="0"/>
  </c:chart>
  <c:spPr>
    <a:solidFill>
      <a:schemeClr val="tx2">
        <a:lumMod val="60000"/>
        <a:lumOff val="4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r>
              <a:rPr lang="es-ES">
                <a:solidFill>
                  <a:schemeClr val="tx1"/>
                </a:solidFill>
              </a:rPr>
              <a:t>Total recursos de casación, procedimientos de revisión y conflictos de competencia resueltos según tipo de resolución</a:t>
            </a:r>
          </a:p>
        </c:rich>
      </c:tx>
      <c:layout>
        <c:manualLayout>
          <c:xMode val="edge"/>
          <c:yMode val="edge"/>
          <c:x val="9.491589914897007E-2"/>
          <c:y val="3.688766863346824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228524616241163"/>
          <c:y val="0.29616581231035083"/>
          <c:w val="0.72051157241708441"/>
          <c:h val="0.49651825733433474"/>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6-93F2-424F-8E64-77EA0E16CE9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3F2-424F-8E64-77EA0E16CE9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3F2-424F-8E64-77EA0E16CE9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3F2-424F-8E64-77EA0E16CE95}"/>
              </c:ext>
            </c:extLst>
          </c:dPt>
          <c:dLbls>
            <c:dLbl>
              <c:idx val="0"/>
              <c:numFmt formatCode="0%"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accent1"/>
                      </a:solidFill>
                      <a:latin typeface="+mn-lt"/>
                      <a:ea typeface="+mn-ea"/>
                      <a:cs typeface="+mn-cs"/>
                    </a:defRPr>
                  </a:pPr>
                  <a:endParaRPr lang="es-CR"/>
                </a:p>
              </c:txPr>
              <c:dLblPos val="outEnd"/>
              <c:showLegendKey val="0"/>
              <c:showVal val="0"/>
              <c:showCatName val="1"/>
              <c:showSerName val="0"/>
              <c:showPercent val="1"/>
              <c:showBubbleSize val="0"/>
              <c:extLst>
                <c:ext xmlns:c16="http://schemas.microsoft.com/office/drawing/2014/chart" uri="{C3380CC4-5D6E-409C-BE32-E72D297353CC}">
                  <c16:uniqueId val="{00000006-93F2-424F-8E64-77EA0E16CE95}"/>
                </c:ext>
              </c:extLst>
            </c:dLbl>
            <c:dLbl>
              <c:idx val="1"/>
              <c:numFmt formatCode="0%"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accent2"/>
                      </a:solidFill>
                      <a:latin typeface="+mn-lt"/>
                      <a:ea typeface="+mn-ea"/>
                      <a:cs typeface="+mn-cs"/>
                    </a:defRPr>
                  </a:pPr>
                  <a:endParaRPr lang="es-CR"/>
                </a:p>
              </c:txPr>
              <c:dLblPos val="outEnd"/>
              <c:showLegendKey val="0"/>
              <c:showVal val="0"/>
              <c:showCatName val="1"/>
              <c:showSerName val="0"/>
              <c:showPercent val="1"/>
              <c:showBubbleSize val="0"/>
              <c:extLst>
                <c:ext xmlns:c16="http://schemas.microsoft.com/office/drawing/2014/chart" uri="{C3380CC4-5D6E-409C-BE32-E72D297353CC}">
                  <c16:uniqueId val="{00000001-93F2-424F-8E64-77EA0E16CE95}"/>
                </c:ext>
              </c:extLst>
            </c:dLbl>
            <c:dLbl>
              <c:idx val="2"/>
              <c:numFmt formatCode="0%"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accent3"/>
                      </a:solidFill>
                      <a:latin typeface="+mn-lt"/>
                      <a:ea typeface="+mn-ea"/>
                      <a:cs typeface="+mn-cs"/>
                    </a:defRPr>
                  </a:pPr>
                  <a:endParaRPr lang="es-CR"/>
                </a:p>
              </c:txPr>
              <c:dLblPos val="outEnd"/>
              <c:showLegendKey val="0"/>
              <c:showVal val="0"/>
              <c:showCatName val="1"/>
              <c:showSerName val="0"/>
              <c:showPercent val="1"/>
              <c:showBubbleSize val="0"/>
              <c:extLst>
                <c:ext xmlns:c16="http://schemas.microsoft.com/office/drawing/2014/chart" uri="{C3380CC4-5D6E-409C-BE32-E72D297353CC}">
                  <c16:uniqueId val="{00000003-93F2-424F-8E64-77EA0E16CE95}"/>
                </c:ext>
              </c:extLst>
            </c:dLbl>
            <c:dLbl>
              <c:idx val="3"/>
              <c:numFmt formatCode="0%"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accent4"/>
                      </a:solidFill>
                      <a:latin typeface="+mn-lt"/>
                      <a:ea typeface="+mn-ea"/>
                      <a:cs typeface="+mn-cs"/>
                    </a:defRPr>
                  </a:pPr>
                  <a:endParaRPr lang="es-CR"/>
                </a:p>
              </c:txPr>
              <c:dLblPos val="outEnd"/>
              <c:showLegendKey val="0"/>
              <c:showVal val="0"/>
              <c:showCatName val="1"/>
              <c:showSerName val="0"/>
              <c:showPercent val="1"/>
              <c:showBubbleSize val="0"/>
              <c:extLst>
                <c:ext xmlns:c16="http://schemas.microsoft.com/office/drawing/2014/chart" uri="{C3380CC4-5D6E-409C-BE32-E72D297353CC}">
                  <c16:uniqueId val="{00000005-93F2-424F-8E64-77EA0E16CE9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accent1"/>
                    </a:solidFill>
                    <a:latin typeface="+mn-lt"/>
                    <a:ea typeface="+mn-ea"/>
                    <a:cs typeface="+mn-cs"/>
                  </a:defRPr>
                </a:pPr>
                <a:endParaRPr lang="es-C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'10,2-Totalresueltosxresolució+'!$A$2:$A$5</c:f>
              <c:strCache>
                <c:ptCount val="4"/>
                <c:pt idx="0">
                  <c:v>Con lugar</c:v>
                </c:pt>
                <c:pt idx="1">
                  <c:v>Sin lugar</c:v>
                </c:pt>
                <c:pt idx="2">
                  <c:v>Inadmisible</c:v>
                </c:pt>
                <c:pt idx="3">
                  <c:v>Otro tipo resolución</c:v>
                </c:pt>
              </c:strCache>
            </c:strRef>
          </c:cat>
          <c:val>
            <c:numRef>
              <c:f>'10,2-Totalresueltosxresolució+'!$B$2:$B$5</c:f>
              <c:numCache>
                <c:formatCode>General</c:formatCode>
                <c:ptCount val="4"/>
                <c:pt idx="0">
                  <c:v>14</c:v>
                </c:pt>
                <c:pt idx="1">
                  <c:v>3</c:v>
                </c:pt>
                <c:pt idx="2">
                  <c:v>12</c:v>
                </c:pt>
                <c:pt idx="3">
                  <c:v>7</c:v>
                </c:pt>
              </c:numCache>
            </c:numRef>
          </c:val>
          <c:extLst>
            <c:ext xmlns:c16="http://schemas.microsoft.com/office/drawing/2014/chart" uri="{C3380CC4-5D6E-409C-BE32-E72D297353CC}">
              <c16:uniqueId val="{00000007-93F2-424F-8E64-77EA0E16CE95}"/>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8" b="1" i="0" u="none" strike="noStrike" kern="1200" baseline="0">
                <a:solidFill>
                  <a:schemeClr val="tx1">
                    <a:lumMod val="65000"/>
                    <a:lumOff val="35000"/>
                  </a:schemeClr>
                </a:solidFill>
                <a:latin typeface="+mn-lt"/>
                <a:ea typeface="+mn-ea"/>
                <a:cs typeface="+mn-cs"/>
              </a:defRPr>
            </a:pPr>
            <a:r>
              <a:rPr lang="es-CR"/>
              <a:t>RENDIMIENTO CNFLAG -2020</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Total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prst="angle"/>
            </a:sp3d>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Consultas entrantes 2020</c:v>
                </c:pt>
                <c:pt idx="1">
                  <c:v>Pronunciamientos CNFLAG</c:v>
                </c:pt>
              </c:strCache>
            </c:strRef>
          </c:cat>
          <c:val>
            <c:numRef>
              <c:f>Hoja1!$B$2:$B$3</c:f>
              <c:numCache>
                <c:formatCode>General</c:formatCode>
                <c:ptCount val="2"/>
                <c:pt idx="0">
                  <c:v>8</c:v>
                </c:pt>
                <c:pt idx="1">
                  <c:v>12</c:v>
                </c:pt>
              </c:numCache>
            </c:numRef>
          </c:val>
          <c:extLst>
            <c:ext xmlns:c16="http://schemas.microsoft.com/office/drawing/2014/chart" uri="{C3380CC4-5D6E-409C-BE32-E72D297353CC}">
              <c16:uniqueId val="{00000000-032C-47A3-A1B3-E3AE4145EF8A}"/>
            </c:ext>
          </c:extLst>
        </c:ser>
        <c:ser>
          <c:idx val="1"/>
          <c:order val="1"/>
          <c:tx>
            <c:strRef>
              <c:f>Hoja1!$C$1</c:f>
              <c:strCache>
                <c:ptCount val="1"/>
                <c:pt idx="0">
                  <c:v>Resueltas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prst="convex"/>
            </a:sp3d>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Consultas entrantes 2020</c:v>
                </c:pt>
                <c:pt idx="1">
                  <c:v>Pronunciamientos CNFLAG</c:v>
                </c:pt>
              </c:strCache>
            </c:strRef>
          </c:cat>
          <c:val>
            <c:numRef>
              <c:f>Hoja1!$C$2:$C$3</c:f>
              <c:numCache>
                <c:formatCode>General</c:formatCode>
                <c:ptCount val="2"/>
                <c:pt idx="0">
                  <c:v>8</c:v>
                </c:pt>
                <c:pt idx="1">
                  <c:v>12</c:v>
                </c:pt>
              </c:numCache>
            </c:numRef>
          </c:val>
          <c:extLst>
            <c:ext xmlns:c16="http://schemas.microsoft.com/office/drawing/2014/chart" uri="{C3380CC4-5D6E-409C-BE32-E72D297353CC}">
              <c16:uniqueId val="{00000001-032C-47A3-A1B3-E3AE4145EF8A}"/>
            </c:ext>
          </c:extLst>
        </c:ser>
        <c:ser>
          <c:idx val="2"/>
          <c:order val="2"/>
          <c:tx>
            <c:strRef>
              <c:f>Hoja1!$D$1</c:f>
              <c:strCache>
                <c:ptCount val="1"/>
                <c:pt idx="0">
                  <c:v>KPI/100%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w="114300" prst="artDeco"/>
            </a:sp3d>
          </c:spPr>
          <c:invertIfNegative val="0"/>
          <c:dLbls>
            <c:dLbl>
              <c:idx val="0"/>
              <c:tx>
                <c:rich>
                  <a:bodyPr/>
                  <a:lstStyle/>
                  <a:p>
                    <a:r>
                      <a:rPr lang="en-US"/>
                      <a:t>100%</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32C-47A3-A1B3-E3AE4145EF8A}"/>
                </c:ext>
              </c:extLst>
            </c:dLbl>
            <c:dLbl>
              <c:idx val="1"/>
              <c:tx>
                <c:rich>
                  <a:bodyPr/>
                  <a:lstStyle/>
                  <a:p>
                    <a:r>
                      <a:rPr lang="en-US"/>
                      <a:t>100%</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32C-47A3-A1B3-E3AE4145EF8A}"/>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Consultas entrantes 2020</c:v>
                </c:pt>
                <c:pt idx="1">
                  <c:v>Pronunciamientos CNFLAG</c:v>
                </c:pt>
              </c:strCache>
            </c:strRef>
          </c:cat>
          <c:val>
            <c:numRef>
              <c:f>Hoja1!$D$2:$D$3</c:f>
              <c:numCache>
                <c:formatCode>General</c:formatCode>
                <c:ptCount val="2"/>
                <c:pt idx="0">
                  <c:v>8</c:v>
                </c:pt>
                <c:pt idx="1">
                  <c:v>12</c:v>
                </c:pt>
              </c:numCache>
            </c:numRef>
          </c:val>
          <c:extLst>
            <c:ext xmlns:c16="http://schemas.microsoft.com/office/drawing/2014/chart" uri="{C3380CC4-5D6E-409C-BE32-E72D297353CC}">
              <c16:uniqueId val="{00000004-032C-47A3-A1B3-E3AE4145EF8A}"/>
            </c:ext>
          </c:extLst>
        </c:ser>
        <c:dLbls>
          <c:showLegendKey val="0"/>
          <c:showVal val="0"/>
          <c:showCatName val="0"/>
          <c:showSerName val="0"/>
          <c:showPercent val="0"/>
          <c:showBubbleSize val="0"/>
        </c:dLbls>
        <c:gapWidth val="150"/>
        <c:shape val="box"/>
        <c:axId val="184532312"/>
        <c:axId val="1"/>
        <c:axId val="2"/>
      </c:bar3DChart>
      <c:catAx>
        <c:axId val="184532312"/>
        <c:scaling>
          <c:orientation val="minMax"/>
        </c:scaling>
        <c:delete val="0"/>
        <c:axPos val="b"/>
        <c:numFmt formatCode="General" sourceLinked="1"/>
        <c:majorTickMark val="none"/>
        <c:minorTickMark val="none"/>
        <c:tickLblPos val="nextTo"/>
        <c:spPr>
          <a:noFill/>
          <a:ln w="12681"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CR"/>
          </a:p>
        </c:txPr>
        <c:crossAx val="1"/>
        <c:crosses val="autoZero"/>
        <c:auto val="1"/>
        <c:lblAlgn val="ctr"/>
        <c:lblOffset val="100"/>
        <c:noMultiLvlLbl val="0"/>
      </c:catAx>
      <c:valAx>
        <c:axId val="1"/>
        <c:scaling>
          <c:orientation val="minMax"/>
        </c:scaling>
        <c:delete val="0"/>
        <c:axPos val="l"/>
        <c:majorGridlines>
          <c:spPr>
            <a:ln w="9511"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CR"/>
          </a:p>
        </c:txPr>
        <c:crossAx val="184532312"/>
        <c:crosses val="autoZero"/>
        <c:crossBetween val="between"/>
      </c:valAx>
      <c:serAx>
        <c:axId val="2"/>
        <c:scaling>
          <c:orientation val="minMax"/>
        </c:scaling>
        <c:delete val="0"/>
        <c:axPos val="b"/>
        <c:numFmt formatCode="General" sourceLinked="1"/>
        <c:majorTickMark val="none"/>
        <c:minorTickMark val="none"/>
        <c:tickLblPos val="nextTo"/>
        <c:spPr>
          <a:ln w="12681">
            <a:solidFill>
              <a:srgbClr val="C0C0C0"/>
            </a:solidFill>
            <a:prstDash val="solid"/>
          </a:ln>
        </c:spPr>
        <c:txPr>
          <a:bodyPr rot="0" vert="horz"/>
          <a:lstStyle/>
          <a:p>
            <a:pPr>
              <a:defRPr sz="899" b="0" i="0" u="none" strike="noStrike" baseline="0">
                <a:solidFill>
                  <a:srgbClr val="333333"/>
                </a:solidFill>
                <a:latin typeface="Calibri"/>
                <a:ea typeface="Calibri"/>
                <a:cs typeface="Calibri"/>
              </a:defRPr>
            </a:pPr>
            <a:endParaRPr lang="es-CR"/>
          </a:p>
        </c:txPr>
        <c:crossAx val="1"/>
        <c:crosses val="autoZero"/>
        <c:tickLblSkip val="1"/>
        <c:tickMarkSkip val="1"/>
      </c:serAx>
      <c:spPr>
        <a:noFill/>
        <a:ln w="25362">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11" cap="flat" cmpd="sng" algn="ctr">
      <a:solidFill>
        <a:schemeClr val="tx1">
          <a:lumMod val="15000"/>
          <a:lumOff val="85000"/>
        </a:schemeClr>
      </a:solidFill>
      <a:round/>
    </a:ln>
    <a:effectLst/>
  </c:spPr>
  <c:txPr>
    <a:bodyPr/>
    <a:lstStyle/>
    <a:p>
      <a:pPr>
        <a:defRPr/>
      </a:pPr>
      <a:endParaRPr lang="es-CR"/>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OFICINA DE ORIGEN</c:v>
                </c:pt>
              </c:strCache>
            </c:strRef>
          </c:tx>
          <c:spPr>
            <a:solidFill>
              <a:srgbClr val="ED7D31"/>
            </a:solidFill>
            <a:ln>
              <a:noFill/>
            </a:ln>
          </c:spPr>
          <c:invertIfNegative val="0"/>
          <c:dPt>
            <c:idx val="0"/>
            <c:invertIfNegative val="0"/>
            <c:bubble3D val="0"/>
            <c:spPr>
              <a:solidFill>
                <a:srgbClr val="70AD47"/>
              </a:solidFill>
              <a:ln>
                <a:noFill/>
              </a:ln>
            </c:spPr>
            <c:extLst>
              <c:ext xmlns:c16="http://schemas.microsoft.com/office/drawing/2014/chart" uri="{C3380CC4-5D6E-409C-BE32-E72D297353CC}">
                <c16:uniqueId val="{00000001-41E8-4072-BE16-CF226CED81C0}"/>
              </c:ext>
            </c:extLst>
          </c:dPt>
          <c:dPt>
            <c:idx val="1"/>
            <c:invertIfNegative val="0"/>
            <c:bubble3D val="0"/>
            <c:spPr>
              <a:solidFill>
                <a:srgbClr val="4472C4"/>
              </a:solidFill>
              <a:ln>
                <a:noFill/>
              </a:ln>
            </c:spPr>
            <c:extLst>
              <c:ext xmlns:c16="http://schemas.microsoft.com/office/drawing/2014/chart" uri="{C3380CC4-5D6E-409C-BE32-E72D297353CC}">
                <c16:uniqueId val="{00000003-41E8-4072-BE16-CF226CED81C0}"/>
              </c:ext>
            </c:extLst>
          </c:dPt>
          <c:dPt>
            <c:idx val="2"/>
            <c:invertIfNegative val="0"/>
            <c:bubble3D val="0"/>
            <c:extLst>
              <c:ext xmlns:c16="http://schemas.microsoft.com/office/drawing/2014/chart" uri="{C3380CC4-5D6E-409C-BE32-E72D297353CC}">
                <c16:uniqueId val="{00000004-41E8-4072-BE16-CF226CED81C0}"/>
              </c:ext>
            </c:extLst>
          </c:dPt>
          <c:dLbls>
            <c:dLbl>
              <c:idx val="0"/>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41E8-4072-BE16-CF226CED81C0}"/>
                </c:ext>
              </c:extLst>
            </c:dLbl>
            <c:dLbl>
              <c:idx val="1"/>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41E8-4072-BE16-CF226CED81C0}"/>
                </c:ext>
              </c:extLst>
            </c:dLbl>
            <c:dLbl>
              <c:idx val="2"/>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4-41E8-4072-BE16-CF226CED81C0}"/>
                </c:ext>
              </c:extLst>
            </c:dLbl>
            <c:spPr>
              <a:noFill/>
              <a:ln>
                <a:noFill/>
              </a:ln>
              <a:effectLst/>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Tribunal de la Inspección Judicial</c:v>
                </c:pt>
                <c:pt idx="1">
                  <c:v>Oficina de Asuntos Internos</c:v>
                </c:pt>
                <c:pt idx="2">
                  <c:v>Judicatura</c:v>
                </c:pt>
              </c:strCache>
            </c:strRef>
          </c:cat>
          <c:val>
            <c:numRef>
              <c:f>0</c:f>
              <c:numCache>
                <c:formatCode>General</c:formatCode>
                <c:ptCount val="3"/>
                <c:pt idx="0">
                  <c:v>66</c:v>
                </c:pt>
                <c:pt idx="1">
                  <c:v>18</c:v>
                </c:pt>
                <c:pt idx="2">
                  <c:v>1</c:v>
                </c:pt>
              </c:numCache>
            </c:numRef>
          </c:val>
          <c:extLst>
            <c:ext xmlns:c16="http://schemas.microsoft.com/office/drawing/2014/chart" uri="{C3380CC4-5D6E-409C-BE32-E72D297353CC}">
              <c16:uniqueId val="{00000005-41E8-4072-BE16-CF226CED81C0}"/>
            </c:ext>
          </c:extLst>
        </c:ser>
        <c:dLbls>
          <c:showLegendKey val="0"/>
          <c:showVal val="0"/>
          <c:showCatName val="0"/>
          <c:showSerName val="0"/>
          <c:showPercent val="0"/>
          <c:showBubbleSize val="0"/>
        </c:dLbls>
        <c:gapWidth val="150"/>
        <c:axId val="885377"/>
        <c:axId val="26690728"/>
      </c:barChart>
      <c:catAx>
        <c:axId val="885377"/>
        <c:scaling>
          <c:orientation val="minMax"/>
        </c:scaling>
        <c:delete val="0"/>
        <c:axPos val="b"/>
        <c:numFmt formatCode="General" sourceLinked="1"/>
        <c:majorTickMark val="out"/>
        <c:minorTickMark val="none"/>
        <c:tickLblPos val="nextTo"/>
        <c:spPr>
          <a:ln w="6480">
            <a:solidFill>
              <a:srgbClr val="8B8B8B"/>
            </a:solidFill>
            <a:round/>
          </a:ln>
        </c:spPr>
        <c:txPr>
          <a:bodyPr/>
          <a:lstStyle/>
          <a:p>
            <a:pPr>
              <a:defRPr sz="1000" b="0" strike="noStrike" spc="-1">
                <a:solidFill>
                  <a:srgbClr val="000000"/>
                </a:solidFill>
                <a:latin typeface="Calibri"/>
              </a:defRPr>
            </a:pPr>
            <a:endParaRPr lang="es-CR"/>
          </a:p>
        </c:txPr>
        <c:crossAx val="26690728"/>
        <c:crosses val="autoZero"/>
        <c:auto val="1"/>
        <c:lblAlgn val="ctr"/>
        <c:lblOffset val="100"/>
        <c:noMultiLvlLbl val="0"/>
      </c:catAx>
      <c:valAx>
        <c:axId val="26690728"/>
        <c:scaling>
          <c:orientation val="minMax"/>
        </c:scaling>
        <c:delete val="1"/>
        <c:axPos val="l"/>
        <c:numFmt formatCode="General" sourceLinked="0"/>
        <c:majorTickMark val="out"/>
        <c:minorTickMark val="none"/>
        <c:tickLblPos val="none"/>
        <c:crossAx val="885377"/>
        <c:crosses val="autoZero"/>
        <c:crossBetween val="between"/>
      </c:valAx>
      <c:spPr>
        <a:noFill/>
        <a:ln>
          <a:noFill/>
        </a:ln>
      </c:spPr>
    </c:plotArea>
    <c:plotVisOnly val="1"/>
    <c:dispBlanksAs val="gap"/>
    <c:showDLblsOverMax val="1"/>
  </c:chart>
  <c:spPr>
    <a:solidFill>
      <a:srgbClr val="FFFFFF"/>
    </a:solidFill>
    <a:ln w="12600">
      <a:solidFill>
        <a:srgbClr val="4472C4"/>
      </a:solidFill>
      <a:round/>
    </a:ln>
  </c:spPr>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Serie1</c:v>
                </c:pt>
              </c:strCache>
            </c:strRef>
          </c:tx>
          <c:spPr>
            <a:solidFill>
              <a:srgbClr val="4472C4"/>
            </a:solidFill>
            <a:ln>
              <a:noFill/>
            </a:ln>
          </c:spPr>
          <c:invertIfNegative val="0"/>
          <c:dPt>
            <c:idx val="0"/>
            <c:invertIfNegative val="0"/>
            <c:bubble3D val="0"/>
            <c:spPr>
              <a:solidFill>
                <a:srgbClr val="ED7D31"/>
              </a:solidFill>
              <a:ln>
                <a:noFill/>
              </a:ln>
            </c:spPr>
            <c:extLst>
              <c:ext xmlns:c16="http://schemas.microsoft.com/office/drawing/2014/chart" uri="{C3380CC4-5D6E-409C-BE32-E72D297353CC}">
                <c16:uniqueId val="{00000001-A595-4B66-B488-A769D77E40F2}"/>
              </c:ext>
            </c:extLst>
          </c:dPt>
          <c:dPt>
            <c:idx val="1"/>
            <c:invertIfNegative val="0"/>
            <c:bubble3D val="0"/>
            <c:spPr>
              <a:solidFill>
                <a:srgbClr val="70AD47"/>
              </a:solidFill>
              <a:ln>
                <a:noFill/>
              </a:ln>
            </c:spPr>
            <c:extLst>
              <c:ext xmlns:c16="http://schemas.microsoft.com/office/drawing/2014/chart" uri="{C3380CC4-5D6E-409C-BE32-E72D297353CC}">
                <c16:uniqueId val="{00000003-A595-4B66-B488-A769D77E40F2}"/>
              </c:ext>
            </c:extLst>
          </c:dPt>
          <c:dLbls>
            <c:dLbl>
              <c:idx val="0"/>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595-4B66-B488-A769D77E40F2}"/>
                </c:ext>
              </c:extLst>
            </c:dLbl>
            <c:dLbl>
              <c:idx val="1"/>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A595-4B66-B488-A769D77E40F2}"/>
                </c:ext>
              </c:extLst>
            </c:dLbl>
            <c:spPr>
              <a:noFill/>
              <a:ln>
                <a:noFill/>
              </a:ln>
              <a:effectLst/>
            </c:spPr>
            <c:txPr>
              <a:bodyPr/>
              <a:lstStyle/>
              <a:p>
                <a:pPr>
                  <a:defRPr sz="1000" b="0" strike="noStrike" spc="-1">
                    <a:solidFill>
                      <a:srgbClr val="000000"/>
                    </a:solidFill>
                    <a:latin typeface="Calibri"/>
                  </a:defRPr>
                </a:pPr>
                <a:endParaRPr lang="es-C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Jurisdiccional</c:v>
                </c:pt>
                <c:pt idx="1">
                  <c:v>Auxiliar de Justicia</c:v>
                </c:pt>
                <c:pt idx="2">
                  <c:v>Administrativo</c:v>
                </c:pt>
              </c:strCache>
            </c:strRef>
          </c:cat>
          <c:val>
            <c:numRef>
              <c:f>0</c:f>
              <c:numCache>
                <c:formatCode>General</c:formatCode>
                <c:ptCount val="3"/>
                <c:pt idx="0">
                  <c:v>21</c:v>
                </c:pt>
                <c:pt idx="1">
                  <c:v>49</c:v>
                </c:pt>
                <c:pt idx="2">
                  <c:v>15</c:v>
                </c:pt>
              </c:numCache>
            </c:numRef>
          </c:val>
          <c:extLst>
            <c:ext xmlns:c16="http://schemas.microsoft.com/office/drawing/2014/chart" uri="{C3380CC4-5D6E-409C-BE32-E72D297353CC}">
              <c16:uniqueId val="{00000004-A595-4B66-B488-A769D77E40F2}"/>
            </c:ext>
          </c:extLst>
        </c:ser>
        <c:dLbls>
          <c:showLegendKey val="0"/>
          <c:showVal val="0"/>
          <c:showCatName val="0"/>
          <c:showSerName val="0"/>
          <c:showPercent val="0"/>
          <c:showBubbleSize val="0"/>
        </c:dLbls>
        <c:gapWidth val="150"/>
        <c:overlap val="-25"/>
        <c:axId val="49927394"/>
        <c:axId val="8080076"/>
      </c:barChart>
      <c:catAx>
        <c:axId val="49927394"/>
        <c:scaling>
          <c:orientation val="minMax"/>
        </c:scaling>
        <c:delete val="0"/>
        <c:axPos val="b"/>
        <c:numFmt formatCode="General" sourceLinked="1"/>
        <c:majorTickMark val="none"/>
        <c:minorTickMark val="none"/>
        <c:tickLblPos val="nextTo"/>
        <c:spPr>
          <a:ln w="6480">
            <a:solidFill>
              <a:srgbClr val="8B8B8B"/>
            </a:solidFill>
            <a:round/>
          </a:ln>
        </c:spPr>
        <c:txPr>
          <a:bodyPr/>
          <a:lstStyle/>
          <a:p>
            <a:pPr>
              <a:defRPr sz="1000" b="0" strike="noStrike" spc="-1">
                <a:solidFill>
                  <a:srgbClr val="000000"/>
                </a:solidFill>
                <a:latin typeface="Calibri"/>
              </a:defRPr>
            </a:pPr>
            <a:endParaRPr lang="es-CR"/>
          </a:p>
        </c:txPr>
        <c:crossAx val="8080076"/>
        <c:crosses val="autoZero"/>
        <c:auto val="1"/>
        <c:lblAlgn val="ctr"/>
        <c:lblOffset val="100"/>
        <c:noMultiLvlLbl val="0"/>
      </c:catAx>
      <c:valAx>
        <c:axId val="8080076"/>
        <c:scaling>
          <c:orientation val="minMax"/>
        </c:scaling>
        <c:delete val="1"/>
        <c:axPos val="l"/>
        <c:numFmt formatCode="General" sourceLinked="0"/>
        <c:majorTickMark val="none"/>
        <c:minorTickMark val="none"/>
        <c:tickLblPos val="none"/>
        <c:crossAx val="49927394"/>
        <c:crosses val="autoZero"/>
        <c:crossBetween val="between"/>
      </c:valAx>
      <c:spPr>
        <a:solidFill>
          <a:srgbClr val="FFFFFF"/>
        </a:solidFill>
        <a:ln>
          <a:noFill/>
        </a:ln>
      </c:spPr>
    </c:plotArea>
    <c:plotVisOnly val="1"/>
    <c:dispBlanksAs val="gap"/>
    <c:showDLblsOverMax val="1"/>
  </c:chart>
  <c:spPr>
    <a:solidFill>
      <a:srgbClr val="FFFFFF"/>
    </a:solidFill>
    <a:ln w="12600">
      <a:solidFill>
        <a:srgbClr val="4472C4"/>
      </a:solidFill>
      <a:round/>
    </a:ln>
  </c:spPr>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31249999999998"/>
          <c:y val="0.16666666666666699"/>
          <c:w val="0.40537499999999999"/>
          <c:h val="0.67555555555555602"/>
        </c:manualLayout>
      </c:layout>
      <c:doughnutChart>
        <c:varyColors val="1"/>
        <c:ser>
          <c:idx val="0"/>
          <c:order val="0"/>
          <c:tx>
            <c:strRef>
              <c:f>label 0</c:f>
              <c:strCache>
                <c:ptCount val="1"/>
                <c:pt idx="0">
                  <c:v>Serie1</c:v>
                </c:pt>
              </c:strCache>
            </c:strRef>
          </c:tx>
          <c:spPr>
            <a:gradFill>
              <a:gsLst>
                <a:gs pos="0">
                  <a:srgbClr val="FEFEFE"/>
                </a:gs>
                <a:gs pos="100000">
                  <a:srgbClr val="F8F8F8"/>
                </a:gs>
              </a:gsLst>
              <a:lin ang="5400000"/>
            </a:gradFill>
            <a:ln>
              <a:noFill/>
            </a:ln>
          </c:spPr>
          <c:explosion val="25"/>
          <c:dPt>
            <c:idx val="0"/>
            <c:bubble3D val="0"/>
            <c:spPr>
              <a:solidFill>
                <a:srgbClr val="4472C4"/>
              </a:solidFill>
              <a:ln>
                <a:noFill/>
              </a:ln>
            </c:spPr>
            <c:extLst>
              <c:ext xmlns:c16="http://schemas.microsoft.com/office/drawing/2014/chart" uri="{C3380CC4-5D6E-409C-BE32-E72D297353CC}">
                <c16:uniqueId val="{00000001-A422-4B72-8DE4-BD57AD5AE9FB}"/>
              </c:ext>
            </c:extLst>
          </c:dPt>
          <c:dPt>
            <c:idx val="1"/>
            <c:bubble3D val="0"/>
            <c:spPr>
              <a:solidFill>
                <a:srgbClr val="ED7D31"/>
              </a:solidFill>
              <a:ln>
                <a:noFill/>
              </a:ln>
            </c:spPr>
            <c:extLst>
              <c:ext xmlns:c16="http://schemas.microsoft.com/office/drawing/2014/chart" uri="{C3380CC4-5D6E-409C-BE32-E72D297353CC}">
                <c16:uniqueId val="{00000003-A422-4B72-8DE4-BD57AD5AE9FB}"/>
              </c:ext>
            </c:extLst>
          </c:dPt>
          <c:dLbls>
            <c:dLbl>
              <c:idx val="0"/>
              <c:spPr/>
              <c:txPr>
                <a:bodyPr/>
                <a:lstStyle/>
                <a:p>
                  <a:pPr>
                    <a:defRPr sz="1000" b="0" strike="noStrike" spc="-1">
                      <a:solidFill>
                        <a:srgbClr val="000000"/>
                      </a:solidFill>
                      <a:latin typeface="Calibri"/>
                    </a:defRPr>
                  </a:pPr>
                  <a:endParaRPr lang="es-CR"/>
                </a:p>
              </c:txP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A422-4B72-8DE4-BD57AD5AE9FB}"/>
                </c:ext>
              </c:extLst>
            </c:dLbl>
            <c:dLbl>
              <c:idx val="1"/>
              <c:spPr/>
              <c:txPr>
                <a:bodyPr/>
                <a:lstStyle/>
                <a:p>
                  <a:pPr>
                    <a:defRPr sz="1000" b="0" strike="noStrike" spc="-1">
                      <a:solidFill>
                        <a:srgbClr val="000000"/>
                      </a:solidFill>
                      <a:latin typeface="Calibri"/>
                    </a:defRPr>
                  </a:pPr>
                  <a:endParaRPr lang="es-CR"/>
                </a:p>
              </c:txP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A422-4B72-8DE4-BD57AD5AE9FB}"/>
                </c:ext>
              </c:extLst>
            </c:dLbl>
            <c:spPr>
              <a:noFill/>
              <a:ln>
                <a:noFill/>
              </a:ln>
              <a:effectLst/>
            </c:spPr>
            <c:txPr>
              <a:bodyPr/>
              <a:lstStyle/>
              <a:p>
                <a:pPr>
                  <a:defRPr sz="1000" b="0" strike="noStrike" spc="-1">
                    <a:latin typeface="Arial"/>
                  </a:defRPr>
                </a:pPr>
                <a:endParaRPr lang="es-CR"/>
              </a:p>
            </c:txPr>
            <c:showLegendKey val="0"/>
            <c:showVal val="0"/>
            <c:showCatName val="0"/>
            <c:showSerName val="0"/>
            <c:showPercent val="0"/>
            <c:showBubbleSize val="1"/>
            <c:separator> </c:separator>
            <c:showLeaderLines val="0"/>
            <c:extLst>
              <c:ext xmlns:c15="http://schemas.microsoft.com/office/drawing/2012/chart" uri="{CE6537A1-D6FC-4f65-9D91-7224C49458BB}"/>
            </c:extLst>
          </c:dLbls>
          <c:cat>
            <c:strRef>
              <c:f>categories</c:f>
              <c:strCache>
                <c:ptCount val="2"/>
              </c:strCache>
            </c:strRef>
          </c:cat>
          <c:val>
            <c:numRef>
              <c:f>0</c:f>
              <c:numCache>
                <c:formatCode>General</c:formatCode>
                <c:ptCount val="2"/>
                <c:pt idx="0">
                  <c:v>53</c:v>
                </c:pt>
                <c:pt idx="1">
                  <c:v>32</c:v>
                </c:pt>
              </c:numCache>
            </c:numRef>
          </c:val>
          <c:extLst>
            <c:ext xmlns:c16="http://schemas.microsoft.com/office/drawing/2014/chart" uri="{C3380CC4-5D6E-409C-BE32-E72D297353CC}">
              <c16:uniqueId val="{00000004-A422-4B72-8DE4-BD57AD5AE9FB}"/>
            </c:ext>
          </c:extLst>
        </c:ser>
        <c:dLbls>
          <c:showLegendKey val="0"/>
          <c:showVal val="0"/>
          <c:showCatName val="0"/>
          <c:showSerName val="0"/>
          <c:showPercent val="0"/>
          <c:showBubbleSize val="0"/>
          <c:showLeaderLines val="0"/>
        </c:dLbls>
        <c:firstSliceAng val="0"/>
        <c:holeSize val="50"/>
      </c:doughnutChart>
      <c:spPr>
        <a:solidFill>
          <a:srgbClr val="454545"/>
        </a:solidFill>
        <a:ln>
          <a:noFill/>
        </a:ln>
      </c:spPr>
    </c:plotArea>
    <c:legend>
      <c:legendPos val="b"/>
      <c:overlay val="0"/>
      <c:spPr>
        <a:noFill/>
        <a:ln>
          <a:noFill/>
        </a:ln>
      </c:spPr>
      <c:txPr>
        <a:bodyPr/>
        <a:lstStyle/>
        <a:p>
          <a:pPr>
            <a:defRPr sz="1000" b="0" strike="noStrike" spc="-1">
              <a:solidFill>
                <a:srgbClr val="000000"/>
              </a:solidFill>
              <a:latin typeface="Calibri"/>
            </a:defRPr>
          </a:pPr>
          <a:endParaRPr lang="es-CR"/>
        </a:p>
      </c:txPr>
    </c:legend>
    <c:plotVisOnly val="1"/>
    <c:dispBlanksAs val="gap"/>
    <c:showDLblsOverMax val="1"/>
  </c:chart>
  <c:spPr>
    <a:solidFill>
      <a:srgbClr val="FFFFFF"/>
    </a:solidFill>
    <a:ln w="12600">
      <a:solidFill>
        <a:srgbClr val="4472C4"/>
      </a:solidFill>
      <a:round/>
    </a:ln>
  </c:spPr>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s-CR" sz="1600" b="1"/>
              <a:t>Información</a:t>
            </a:r>
            <a:r>
              <a:rPr lang="es-CR" sz="1600" b="1" baseline="0"/>
              <a:t> General</a:t>
            </a:r>
            <a:endParaRPr lang="es-CR" sz="1600" b="1"/>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solidFill>
            <a:schemeClr val="tx2">
              <a:lumMod val="60000"/>
              <a:lumOff val="40000"/>
            </a:schemeClr>
          </a:solidFill>
        </a:ln>
        <a:effectLst/>
        <a:sp3d>
          <a:contourClr>
            <a:schemeClr val="tx2">
              <a:lumMod val="60000"/>
              <a:lumOff val="40000"/>
            </a:schemeClr>
          </a:contourClr>
        </a:sp3d>
      </c:spPr>
    </c:sideWall>
    <c:backWall>
      <c:thickness val="0"/>
      <c:spPr>
        <a:noFill/>
        <a:ln>
          <a:solidFill>
            <a:schemeClr val="tx2">
              <a:lumMod val="60000"/>
              <a:lumOff val="40000"/>
            </a:schemeClr>
          </a:solidFill>
        </a:ln>
        <a:effectLst/>
        <a:sp3d>
          <a:contourClr>
            <a:schemeClr val="tx2">
              <a:lumMod val="60000"/>
              <a:lumOff val="40000"/>
            </a:schemeClr>
          </a:contourClr>
        </a:sp3d>
      </c:spPr>
    </c:backWall>
    <c:plotArea>
      <c:layout>
        <c:manualLayout>
          <c:layoutTarget val="inner"/>
          <c:xMode val="edge"/>
          <c:yMode val="edge"/>
          <c:x val="6.9719290953733429E-2"/>
          <c:y val="9.8591174906964382E-2"/>
          <c:w val="0.75476481862054623"/>
          <c:h val="0.78337770577720844"/>
        </c:manualLayout>
      </c:layout>
      <c:bar3DChart>
        <c:barDir val="col"/>
        <c:grouping val="clustered"/>
        <c:varyColors val="0"/>
        <c:ser>
          <c:idx val="0"/>
          <c:order val="0"/>
          <c:tx>
            <c:strRef>
              <c:f>Hoja1!$A$1</c:f>
              <c:strCache>
                <c:ptCount val="1"/>
                <c:pt idx="0">
                  <c:v>Activo</c:v>
                </c:pt>
              </c:strCache>
            </c:strRef>
          </c:tx>
          <c:spPr>
            <a:solidFill>
              <a:schemeClr val="accent2"/>
            </a:solidFill>
            <a:ln>
              <a:noFill/>
            </a:ln>
            <a:effectLst/>
            <a:sp3d/>
          </c:spPr>
          <c:invertIfNegative val="0"/>
          <c:dLbls>
            <c:dLbl>
              <c:idx val="0"/>
              <c:layout>
                <c:manualLayout>
                  <c:x val="1.111111111111111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D2-4284-971A-3C05C4A342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c:f>
              <c:numCache>
                <c:formatCode>General</c:formatCode>
                <c:ptCount val="1"/>
                <c:pt idx="0">
                  <c:v>58</c:v>
                </c:pt>
              </c:numCache>
            </c:numRef>
          </c:val>
          <c:extLst>
            <c:ext xmlns:c16="http://schemas.microsoft.com/office/drawing/2014/chart" uri="{C3380CC4-5D6E-409C-BE32-E72D297353CC}">
              <c16:uniqueId val="{00000001-0CD2-4284-971A-3C05C4A342C7}"/>
            </c:ext>
          </c:extLst>
        </c:ser>
        <c:ser>
          <c:idx val="1"/>
          <c:order val="1"/>
          <c:tx>
            <c:strRef>
              <c:f>Hoja1!$A$2</c:f>
              <c:strCache>
                <c:ptCount val="1"/>
                <c:pt idx="0">
                  <c:v>Recibido</c:v>
                </c:pt>
              </c:strCache>
            </c:strRef>
          </c:tx>
          <c:spPr>
            <a:solidFill>
              <a:schemeClr val="accent4"/>
            </a:solidFill>
            <a:ln>
              <a:noFill/>
            </a:ln>
            <a:effectLst/>
            <a:sp3d/>
          </c:spPr>
          <c:invertIfNegative val="0"/>
          <c:dLbls>
            <c:dLbl>
              <c:idx val="0"/>
              <c:layout>
                <c:manualLayout>
                  <c:x val="1.1111111111111112E-2"/>
                  <c:y val="-2.777777777777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D2-4284-971A-3C05C4A342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c:f>
              <c:numCache>
                <c:formatCode>General</c:formatCode>
                <c:ptCount val="1"/>
                <c:pt idx="0">
                  <c:v>279</c:v>
                </c:pt>
              </c:numCache>
            </c:numRef>
          </c:val>
          <c:extLst>
            <c:ext xmlns:c16="http://schemas.microsoft.com/office/drawing/2014/chart" uri="{C3380CC4-5D6E-409C-BE32-E72D297353CC}">
              <c16:uniqueId val="{00000003-0CD2-4284-971A-3C05C4A342C7}"/>
            </c:ext>
          </c:extLst>
        </c:ser>
        <c:ser>
          <c:idx val="2"/>
          <c:order val="2"/>
          <c:tx>
            <c:strRef>
              <c:f>Hoja1!$A$3</c:f>
              <c:strCache>
                <c:ptCount val="1"/>
                <c:pt idx="0">
                  <c:v>Salido</c:v>
                </c:pt>
              </c:strCache>
            </c:strRef>
          </c:tx>
          <c:spPr>
            <a:solidFill>
              <a:schemeClr val="accent6"/>
            </a:solidFill>
            <a:ln>
              <a:noFill/>
            </a:ln>
            <a:effectLst/>
            <a:sp3d/>
          </c:spPr>
          <c:invertIfNegative val="0"/>
          <c:dLbls>
            <c:dLbl>
              <c:idx val="0"/>
              <c:layout>
                <c:manualLayout>
                  <c:x val="2.7770409357951345E-2"/>
                  <c:y val="-1.1630477402214991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15:layout>
                    <c:manualLayout>
                      <c:w val="0.11371504660452728"/>
                      <c:h val="7.0248983739837387E-2"/>
                    </c:manualLayout>
                  </c15:layout>
                </c:ext>
                <c:ext xmlns:c16="http://schemas.microsoft.com/office/drawing/2014/chart" uri="{C3380CC4-5D6E-409C-BE32-E72D297353CC}">
                  <c16:uniqueId val="{00000004-0CD2-4284-971A-3C05C4A342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Hoja1!$B$3</c:f>
              <c:numCache>
                <c:formatCode>General</c:formatCode>
                <c:ptCount val="1"/>
                <c:pt idx="0">
                  <c:v>296</c:v>
                </c:pt>
              </c:numCache>
            </c:numRef>
          </c:val>
          <c:extLst>
            <c:ext xmlns:c16="http://schemas.microsoft.com/office/drawing/2014/chart" uri="{C3380CC4-5D6E-409C-BE32-E72D297353CC}">
              <c16:uniqueId val="{00000005-0CD2-4284-971A-3C05C4A342C7}"/>
            </c:ext>
          </c:extLst>
        </c:ser>
        <c:ser>
          <c:idx val="3"/>
          <c:order val="3"/>
          <c:tx>
            <c:strRef>
              <c:f>Hoja1!$A$4</c:f>
              <c:strCache>
                <c:ptCount val="1"/>
                <c:pt idx="0">
                  <c:v>Pendiente</c:v>
                </c:pt>
              </c:strCache>
            </c:strRef>
          </c:tx>
          <c:spPr>
            <a:solidFill>
              <a:schemeClr val="accent2">
                <a:lumMod val="60000"/>
              </a:schemeClr>
            </a:solidFill>
            <a:ln>
              <a:noFill/>
            </a:ln>
            <a:effectLst/>
            <a:sp3d/>
          </c:spPr>
          <c:invertIfNegative val="0"/>
          <c:dLbls>
            <c:dLbl>
              <c:idx val="0"/>
              <c:layout>
                <c:manualLayout>
                  <c:x val="3.3333333333333333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D2-4284-971A-3C05C4A342C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Hoja1!$B$4</c:f>
              <c:numCache>
                <c:formatCode>General</c:formatCode>
                <c:ptCount val="1"/>
                <c:pt idx="0">
                  <c:v>41</c:v>
                </c:pt>
              </c:numCache>
            </c:numRef>
          </c:val>
          <c:extLst>
            <c:ext xmlns:c16="http://schemas.microsoft.com/office/drawing/2014/chart" uri="{C3380CC4-5D6E-409C-BE32-E72D297353CC}">
              <c16:uniqueId val="{00000007-0CD2-4284-971A-3C05C4A342C7}"/>
            </c:ext>
          </c:extLst>
        </c:ser>
        <c:dLbls>
          <c:showLegendKey val="0"/>
          <c:showVal val="0"/>
          <c:showCatName val="0"/>
          <c:showSerName val="0"/>
          <c:showPercent val="0"/>
          <c:showBubbleSize val="0"/>
        </c:dLbls>
        <c:gapWidth val="150"/>
        <c:shape val="box"/>
        <c:axId val="455794648"/>
        <c:axId val="455794976"/>
        <c:axId val="0"/>
      </c:bar3DChart>
      <c:catAx>
        <c:axId val="455794648"/>
        <c:scaling>
          <c:orientation val="minMax"/>
        </c:scaling>
        <c:delete val="1"/>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s-CR" sz="1400" b="1"/>
                  <a:t>Consultas 2020</a:t>
                </a:r>
              </a:p>
            </c:rich>
          </c:tx>
          <c:layout>
            <c:manualLayout>
              <c:xMode val="edge"/>
              <c:yMode val="edge"/>
              <c:x val="0.34039231938113002"/>
              <c:y val="0.9109988156968184"/>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crossAx val="455794976"/>
        <c:crosses val="autoZero"/>
        <c:auto val="1"/>
        <c:lblAlgn val="ctr"/>
        <c:lblOffset val="100"/>
        <c:noMultiLvlLbl val="0"/>
      </c:catAx>
      <c:valAx>
        <c:axId val="45579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R"/>
          </a:p>
        </c:txPr>
        <c:crossAx val="455794648"/>
        <c:crosses val="autoZero"/>
        <c:crossBetween val="between"/>
      </c:valAx>
      <c:spPr>
        <a:noFill/>
        <a:ln>
          <a:noFill/>
        </a:ln>
        <a:effectLst/>
      </c:spPr>
    </c:plotArea>
    <c:legend>
      <c:legendPos val="r"/>
      <c:layout>
        <c:manualLayout>
          <c:xMode val="edge"/>
          <c:yMode val="edge"/>
          <c:x val="0.78782721807867861"/>
          <c:y val="0.4128309619192338"/>
          <c:w val="0.19751002532308096"/>
          <c:h val="0.32609225282246418"/>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25" b="1" i="0" u="none" strike="noStrike" baseline="0">
                <a:solidFill>
                  <a:srgbClr val="000000"/>
                </a:solidFill>
                <a:latin typeface="Arial"/>
                <a:ea typeface="Arial"/>
                <a:cs typeface="Arial"/>
              </a:defRPr>
            </a:pPr>
            <a:r>
              <a:rPr lang="es-ES"/>
              <a:t>CUADRO N° 1
BALANCE GENERAL 2020
(Expedientes Entrados-reentrados, Resueltos y Circulante Activo)</a:t>
            </a:r>
          </a:p>
          <a:p>
            <a:pPr>
              <a:defRPr sz="1625" b="1" i="0" u="none" strike="noStrike" baseline="0">
                <a:solidFill>
                  <a:srgbClr val="000000"/>
                </a:solidFill>
                <a:latin typeface="Arial"/>
                <a:ea typeface="Arial"/>
                <a:cs typeface="Arial"/>
              </a:defRPr>
            </a:pPr>
            <a:endParaRPr lang="es-ES"/>
          </a:p>
        </c:rich>
      </c:tx>
      <c:layout>
        <c:manualLayout>
          <c:xMode val="edge"/>
          <c:yMode val="edge"/>
          <c:x val="0.14496836173332536"/>
          <c:y val="1.2083303242654986E-2"/>
        </c:manualLayout>
      </c:layout>
      <c:overlay val="0"/>
      <c:spPr>
        <a:noFill/>
        <a:ln w="25400">
          <a:noFill/>
        </a:ln>
      </c:spPr>
    </c:title>
    <c:autoTitleDeleted val="0"/>
    <c:plotArea>
      <c:layout>
        <c:manualLayout>
          <c:layoutTarget val="inner"/>
          <c:xMode val="edge"/>
          <c:yMode val="edge"/>
          <c:x val="0.10596327456740461"/>
          <c:y val="0.24212634429599331"/>
          <c:w val="0.76619718309859386"/>
          <c:h val="0.62992186531306416"/>
        </c:manualLayout>
      </c:layout>
      <c:lineChart>
        <c:grouping val="standard"/>
        <c:varyColors val="0"/>
        <c:ser>
          <c:idx val="0"/>
          <c:order val="0"/>
          <c:tx>
            <c:strRef>
              <c:f>'1,1-Balance General'!$B$2</c:f>
              <c:strCache>
                <c:ptCount val="1"/>
                <c:pt idx="0">
                  <c:v>Entrados</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3.8468781751636948E-2"/>
                  <c:y val="4.591767941801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24-4A09-9000-ED74D9702B80}"/>
                </c:ext>
              </c:extLst>
            </c:dLbl>
            <c:dLbl>
              <c:idx val="1"/>
              <c:layout>
                <c:manualLayout>
                  <c:x val="-3.3116572661894536E-2"/>
                  <c:y val="-2.8172180183399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24-4A09-9000-ED74D9702B80}"/>
                </c:ext>
              </c:extLst>
            </c:dLbl>
            <c:dLbl>
              <c:idx val="2"/>
              <c:layout>
                <c:manualLayout>
                  <c:x val="-9.5598912720661604E-3"/>
                  <c:y val="6.36830071921244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24-4A09-9000-ED74D9702B80}"/>
                </c:ext>
              </c:extLst>
            </c:dLbl>
            <c:dLbl>
              <c:idx val="3"/>
              <c:layout>
                <c:manualLayout>
                  <c:x val="-8.1940712402559929E-3"/>
                  <c:y val="-4.24727315837743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24-4A09-9000-ED74D9702B80}"/>
                </c:ext>
              </c:extLst>
            </c:dLbl>
            <c:dLbl>
              <c:idx val="4"/>
              <c:layout>
                <c:manualLayout>
                  <c:x val="-1.1134694644494151E-2"/>
                  <c:y val="-1.45750201311856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24-4A09-9000-ED74D9702B80}"/>
                </c:ext>
              </c:extLst>
            </c:dLbl>
            <c:dLbl>
              <c:idx val="5"/>
              <c:layout>
                <c:manualLayout>
                  <c:x val="-3.6917466012616258E-2"/>
                  <c:y val="2.5307269309553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24-4A09-9000-ED74D9702B80}"/>
                </c:ext>
              </c:extLst>
            </c:dLbl>
            <c:dLbl>
              <c:idx val="6"/>
              <c:layout>
                <c:manualLayout>
                  <c:x val="-2.6218379288610535E-2"/>
                  <c:y val="2.7780457203169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24-4A09-9000-ED74D9702B80}"/>
                </c:ext>
              </c:extLst>
            </c:dLbl>
            <c:dLbl>
              <c:idx val="7"/>
              <c:layout>
                <c:manualLayout>
                  <c:x val="-4.0414576538485972E-2"/>
                  <c:y val="3.0911232011862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24-4A09-9000-ED74D9702B80}"/>
                </c:ext>
              </c:extLst>
            </c:dLbl>
            <c:dLbl>
              <c:idx val="8"/>
              <c:layout>
                <c:manualLayout>
                  <c:x val="-3.7280392396289046E-2"/>
                  <c:y val="-2.612274408619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24-4A09-9000-ED74D9702B80}"/>
                </c:ext>
              </c:extLst>
            </c:dLbl>
            <c:dLbl>
              <c:idx val="9"/>
              <c:layout>
                <c:manualLayout>
                  <c:x val="-3.0517277508303648E-2"/>
                  <c:y val="-3.1423450130912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24-4A09-9000-ED74D9702B80}"/>
                </c:ext>
              </c:extLst>
            </c:dLbl>
            <c:dLbl>
              <c:idx val="10"/>
              <c:layout>
                <c:manualLayout>
                  <c:x val="-3.6679052384355641E-2"/>
                  <c:y val="-3.4837700273466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24-4A09-9000-ED74D9702B80}"/>
                </c:ext>
              </c:extLst>
            </c:dLbl>
            <c:dLbl>
              <c:idx val="11"/>
              <c:layout>
                <c:manualLayout>
                  <c:x val="-4.5986948075739872E-2"/>
                  <c:y val="1.3315753972830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24-4A09-9000-ED74D9702B80}"/>
                </c:ext>
              </c:extLst>
            </c:dLbl>
            <c:dLbl>
              <c:idx val="12"/>
              <c:layout>
                <c:manualLayout>
                  <c:xMode val="edge"/>
                  <c:yMode val="edge"/>
                  <c:x val="0.7625963897194864"/>
                  <c:y val="0.2703064340686610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624-4A09-9000-ED74D9702B80}"/>
                </c:ext>
              </c:extLst>
            </c:dLbl>
            <c:spPr>
              <a:noFill/>
              <a:ln w="25400">
                <a:noFill/>
              </a:ln>
            </c:spPr>
            <c:txPr>
              <a:bodyPr/>
              <a:lstStyle/>
              <a:p>
                <a:pPr>
                  <a:defRPr sz="1000" b="1" i="0" u="none" strike="noStrike" baseline="0">
                    <a:solidFill>
                      <a:srgbClr val="000000"/>
                    </a:solidFill>
                    <a:latin typeface="Arial"/>
                    <a:ea typeface="Arial"/>
                    <a:cs typeface="Arial"/>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'1,1-Balance General'!$A$13:$A$17</c:f>
              <c:numCache>
                <c:formatCode>General</c:formatCode>
                <c:ptCount val="5"/>
                <c:pt idx="0">
                  <c:v>2016</c:v>
                </c:pt>
                <c:pt idx="1">
                  <c:v>2017</c:v>
                </c:pt>
                <c:pt idx="2">
                  <c:v>2018</c:v>
                </c:pt>
                <c:pt idx="3">
                  <c:v>2019</c:v>
                </c:pt>
                <c:pt idx="4">
                  <c:v>2020</c:v>
                </c:pt>
              </c:numCache>
            </c:numRef>
          </c:cat>
          <c:val>
            <c:numRef>
              <c:f>'1,1-Balance General'!$B$13:$B$17</c:f>
              <c:numCache>
                <c:formatCode>General</c:formatCode>
                <c:ptCount val="5"/>
                <c:pt idx="0">
                  <c:v>1046</c:v>
                </c:pt>
                <c:pt idx="1">
                  <c:v>1006</c:v>
                </c:pt>
                <c:pt idx="2">
                  <c:v>940</c:v>
                </c:pt>
                <c:pt idx="3">
                  <c:v>1255</c:v>
                </c:pt>
                <c:pt idx="4">
                  <c:v>1267</c:v>
                </c:pt>
              </c:numCache>
            </c:numRef>
          </c:val>
          <c:smooth val="0"/>
          <c:extLst>
            <c:ext xmlns:c16="http://schemas.microsoft.com/office/drawing/2014/chart" uri="{C3380CC4-5D6E-409C-BE32-E72D297353CC}">
              <c16:uniqueId val="{0000000D-7624-4A09-9000-ED74D9702B80}"/>
            </c:ext>
          </c:extLst>
        </c:ser>
        <c:ser>
          <c:idx val="1"/>
          <c:order val="1"/>
          <c:tx>
            <c:strRef>
              <c:f>'1,1-Balance General'!$C$2</c:f>
              <c:strCache>
                <c:ptCount val="1"/>
                <c:pt idx="0">
                  <c:v>Resueltos</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dLbl>
              <c:idx val="0"/>
              <c:layout>
                <c:manualLayout>
                  <c:x val="-1.3350314231991879E-2"/>
                  <c:y val="-6.48101031209287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624-4A09-9000-ED74D9702B80}"/>
                </c:ext>
              </c:extLst>
            </c:dLbl>
            <c:dLbl>
              <c:idx val="1"/>
              <c:layout>
                <c:manualLayout>
                  <c:x val="-1.1063241301899712E-2"/>
                  <c:y val="-3.583747610660997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624-4A09-9000-ED74D9702B80}"/>
                </c:ext>
              </c:extLst>
            </c:dLbl>
            <c:dLbl>
              <c:idx val="2"/>
              <c:layout>
                <c:manualLayout>
                  <c:x val="-3.3169773566479696E-2"/>
                  <c:y val="2.73944839925244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624-4A09-9000-ED74D9702B80}"/>
                </c:ext>
              </c:extLst>
            </c:dLbl>
            <c:dLbl>
              <c:idx val="3"/>
              <c:layout>
                <c:manualLayout>
                  <c:x val="-3.1910907556346416E-2"/>
                  <c:y val="2.967913223556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624-4A09-9000-ED74D9702B80}"/>
                </c:ext>
              </c:extLst>
            </c:dLbl>
            <c:dLbl>
              <c:idx val="4"/>
              <c:layout>
                <c:manualLayout>
                  <c:x val="-3.4701563441583497E-2"/>
                  <c:y val="-3.2022256387607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624-4A09-9000-ED74D9702B80}"/>
                </c:ext>
              </c:extLst>
            </c:dLbl>
            <c:dLbl>
              <c:idx val="5"/>
              <c:layout>
                <c:manualLayout>
                  <c:x val="-2.8750388056331667E-2"/>
                  <c:y val="-2.5874337279078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624-4A09-9000-ED74D9702B80}"/>
                </c:ext>
              </c:extLst>
            </c:dLbl>
            <c:dLbl>
              <c:idx val="6"/>
              <c:layout>
                <c:manualLayout>
                  <c:x val="-2.6210925456618718E-2"/>
                  <c:y val="-2.7379456046806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624-4A09-9000-ED74D9702B80}"/>
                </c:ext>
              </c:extLst>
            </c:dLbl>
            <c:dLbl>
              <c:idx val="7"/>
              <c:layout>
                <c:manualLayout>
                  <c:x val="-2.7508146800592992E-2"/>
                  <c:y val="-2.45780543627388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624-4A09-9000-ED74D9702B80}"/>
                </c:ext>
              </c:extLst>
            </c:dLbl>
            <c:dLbl>
              <c:idx val="8"/>
              <c:layout>
                <c:manualLayout>
                  <c:x val="-2.6902961691528431E-2"/>
                  <c:y val="2.5714484894201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624-4A09-9000-ED74D9702B80}"/>
                </c:ext>
              </c:extLst>
            </c:dLbl>
            <c:dLbl>
              <c:idx val="9"/>
              <c:layout>
                <c:manualLayout>
                  <c:x val="-5.4676663720336516E-3"/>
                  <c:y val="-2.90978598952969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624-4A09-9000-ED74D9702B80}"/>
                </c:ext>
              </c:extLst>
            </c:dLbl>
            <c:dLbl>
              <c:idx val="10"/>
              <c:layout>
                <c:manualLayout>
                  <c:x val="-2.1353654569639346E-2"/>
                  <c:y val="2.7518673266161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624-4A09-9000-ED74D9702B80}"/>
                </c:ext>
              </c:extLst>
            </c:dLbl>
            <c:dLbl>
              <c:idx val="11"/>
              <c:layout>
                <c:manualLayout>
                  <c:x val="-1.6001742100060144E-2"/>
                  <c:y val="-3.7283447092415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624-4A09-9000-ED74D9702B80}"/>
                </c:ext>
              </c:extLst>
            </c:dLbl>
            <c:dLbl>
              <c:idx val="12"/>
              <c:layout>
                <c:manualLayout>
                  <c:xMode val="edge"/>
                  <c:yMode val="edge"/>
                  <c:x val="0.73953916405047615"/>
                  <c:y val="0.153129260679290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624-4A09-9000-ED74D9702B80}"/>
                </c:ext>
              </c:extLst>
            </c:dLbl>
            <c:spPr>
              <a:noFill/>
              <a:ln w="25400">
                <a:noFill/>
              </a:ln>
            </c:spPr>
            <c:txPr>
              <a:bodyPr/>
              <a:lstStyle/>
              <a:p>
                <a:pPr>
                  <a:defRPr sz="1000" b="1" i="0" u="none" strike="noStrike" baseline="0">
                    <a:solidFill>
                      <a:srgbClr val="000000"/>
                    </a:solidFill>
                    <a:latin typeface="Arial"/>
                    <a:ea typeface="Arial"/>
                    <a:cs typeface="Arial"/>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'1,1-Balance General'!$A$13:$A$17</c:f>
              <c:numCache>
                <c:formatCode>General</c:formatCode>
                <c:ptCount val="5"/>
                <c:pt idx="0">
                  <c:v>2016</c:v>
                </c:pt>
                <c:pt idx="1">
                  <c:v>2017</c:v>
                </c:pt>
                <c:pt idx="2">
                  <c:v>2018</c:v>
                </c:pt>
                <c:pt idx="3">
                  <c:v>2019</c:v>
                </c:pt>
                <c:pt idx="4">
                  <c:v>2020</c:v>
                </c:pt>
              </c:numCache>
            </c:numRef>
          </c:cat>
          <c:val>
            <c:numRef>
              <c:f>'1,1-Balance General'!$C$13:$C$17</c:f>
              <c:numCache>
                <c:formatCode>General</c:formatCode>
                <c:ptCount val="5"/>
                <c:pt idx="0">
                  <c:v>1066</c:v>
                </c:pt>
                <c:pt idx="1">
                  <c:v>948</c:v>
                </c:pt>
                <c:pt idx="2">
                  <c:v>741</c:v>
                </c:pt>
                <c:pt idx="3">
                  <c:v>1252</c:v>
                </c:pt>
                <c:pt idx="4">
                  <c:v>1413</c:v>
                </c:pt>
              </c:numCache>
            </c:numRef>
          </c:val>
          <c:smooth val="0"/>
          <c:extLst>
            <c:ext xmlns:c16="http://schemas.microsoft.com/office/drawing/2014/chart" uri="{C3380CC4-5D6E-409C-BE32-E72D297353CC}">
              <c16:uniqueId val="{0000001B-7624-4A09-9000-ED74D9702B80}"/>
            </c:ext>
          </c:extLst>
        </c:ser>
        <c:ser>
          <c:idx val="2"/>
          <c:order val="2"/>
          <c:tx>
            <c:strRef>
              <c:f>'1,1-Balance General'!$D$2</c:f>
              <c:strCache>
                <c:ptCount val="1"/>
                <c:pt idx="0">
                  <c:v>Circulante Activo</c:v>
                </c:pt>
              </c:strCache>
            </c:strRef>
          </c:tx>
          <c:spPr>
            <a:ln w="25400">
              <a:solidFill>
                <a:srgbClr val="996633"/>
              </a:solidFill>
              <a:prstDash val="solid"/>
            </a:ln>
          </c:spPr>
          <c:marker>
            <c:symbol val="triangle"/>
            <c:size val="5"/>
            <c:spPr>
              <a:solidFill>
                <a:srgbClr val="339933"/>
              </a:solidFill>
              <a:ln>
                <a:solidFill>
                  <a:srgbClr val="339933"/>
                </a:solidFill>
                <a:prstDash val="solid"/>
              </a:ln>
            </c:spPr>
          </c:marker>
          <c:dLbls>
            <c:dLbl>
              <c:idx val="0"/>
              <c:layout>
                <c:manualLayout>
                  <c:x val="-3.4336373189630558E-2"/>
                  <c:y val="-4.4389420827146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624-4A09-9000-ED74D9702B80}"/>
                </c:ext>
              </c:extLst>
            </c:dLbl>
            <c:dLbl>
              <c:idx val="1"/>
              <c:layout>
                <c:manualLayout>
                  <c:x val="-3.1731509749702479E-2"/>
                  <c:y val="4.203817348677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7624-4A09-9000-ED74D9702B80}"/>
                </c:ext>
              </c:extLst>
            </c:dLbl>
            <c:dLbl>
              <c:idx val="2"/>
              <c:layout>
                <c:manualLayout>
                  <c:x val="-3.6214676403375522E-2"/>
                  <c:y val="-3.0399864414534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7624-4A09-9000-ED74D9702B80}"/>
                </c:ext>
              </c:extLst>
            </c:dLbl>
            <c:dLbl>
              <c:idx val="3"/>
              <c:layout>
                <c:manualLayout>
                  <c:x val="-1.456374763018976E-2"/>
                  <c:y val="-1.8434280079998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7624-4A09-9000-ED74D9702B80}"/>
                </c:ext>
              </c:extLst>
            </c:dLbl>
            <c:dLbl>
              <c:idx val="4"/>
              <c:layout>
                <c:manualLayout>
                  <c:x val="-2.6384537954261041E-2"/>
                  <c:y val="-2.5626373933617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7624-4A09-9000-ED74D9702B80}"/>
                </c:ext>
              </c:extLst>
            </c:dLbl>
            <c:dLbl>
              <c:idx val="5"/>
              <c:layout>
                <c:manualLayout>
                  <c:x val="-2.8738534391484206E-2"/>
                  <c:y val="-3.04729169284382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7624-4A09-9000-ED74D9702B80}"/>
                </c:ext>
              </c:extLst>
            </c:dLbl>
            <c:dLbl>
              <c:idx val="6"/>
              <c:layout>
                <c:manualLayout>
                  <c:x val="-2.9193713407575993E-2"/>
                  <c:y val="-2.045741727220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7624-4A09-9000-ED74D9702B80}"/>
                </c:ext>
              </c:extLst>
            </c:dLbl>
            <c:dLbl>
              <c:idx val="7"/>
              <c:layout>
                <c:manualLayout>
                  <c:x val="-3.1390939065296893E-2"/>
                  <c:y val="-2.043717128977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7624-4A09-9000-ED74D9702B80}"/>
                </c:ext>
              </c:extLst>
            </c:dLbl>
            <c:dLbl>
              <c:idx val="8"/>
              <c:layout>
                <c:manualLayout>
                  <c:x val="-3.0645701925802012E-2"/>
                  <c:y val="-2.6903362377621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7624-4A09-9000-ED74D9702B80}"/>
                </c:ext>
              </c:extLst>
            </c:dLbl>
            <c:dLbl>
              <c:idx val="9"/>
              <c:layout>
                <c:manualLayout>
                  <c:x val="-2.9475565008463381E-2"/>
                  <c:y val="-2.28856828343707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7624-4A09-9000-ED74D9702B80}"/>
                </c:ext>
              </c:extLst>
            </c:dLbl>
            <c:dLbl>
              <c:idx val="10"/>
              <c:layout>
                <c:manualLayout>
                  <c:x val="-2.7148591399932247E-2"/>
                  <c:y val="-2.6448975741138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7624-4A09-9000-ED74D9702B80}"/>
                </c:ext>
              </c:extLst>
            </c:dLbl>
            <c:dLbl>
              <c:idx val="11"/>
              <c:layout>
                <c:manualLayout>
                  <c:x val="-3.5878274214845206E-2"/>
                  <c:y val="2.34284296353767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7624-4A09-9000-ED74D9702B80}"/>
                </c:ext>
              </c:extLst>
            </c:dLbl>
            <c:dLbl>
              <c:idx val="12"/>
              <c:layout>
                <c:manualLayout>
                  <c:xMode val="edge"/>
                  <c:yMode val="edge"/>
                  <c:x val="0.74295504933477741"/>
                  <c:y val="0.312916315301159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7624-4A09-9000-ED74D9702B80}"/>
                </c:ext>
              </c:extLst>
            </c:dLbl>
            <c:spPr>
              <a:noFill/>
              <a:ln w="25400">
                <a:noFill/>
              </a:ln>
            </c:spPr>
            <c:txPr>
              <a:bodyPr/>
              <a:lstStyle/>
              <a:p>
                <a:pPr>
                  <a:defRPr sz="1000" b="1" i="0" u="none" strike="noStrike" baseline="0">
                    <a:solidFill>
                      <a:srgbClr val="000000"/>
                    </a:solidFill>
                    <a:latin typeface="Arial"/>
                    <a:ea typeface="Arial"/>
                    <a:cs typeface="Arial"/>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'1,1-Balance General'!$A$13:$A$17</c:f>
              <c:numCache>
                <c:formatCode>General</c:formatCode>
                <c:ptCount val="5"/>
                <c:pt idx="0">
                  <c:v>2016</c:v>
                </c:pt>
                <c:pt idx="1">
                  <c:v>2017</c:v>
                </c:pt>
                <c:pt idx="2">
                  <c:v>2018</c:v>
                </c:pt>
                <c:pt idx="3">
                  <c:v>2019</c:v>
                </c:pt>
                <c:pt idx="4">
                  <c:v>2020</c:v>
                </c:pt>
              </c:numCache>
            </c:numRef>
          </c:cat>
          <c:val>
            <c:numRef>
              <c:f>'1,1-Balance General'!$D$13:$D$17</c:f>
              <c:numCache>
                <c:formatCode>General</c:formatCode>
                <c:ptCount val="5"/>
                <c:pt idx="0">
                  <c:v>212</c:v>
                </c:pt>
                <c:pt idx="1">
                  <c:v>270</c:v>
                </c:pt>
                <c:pt idx="2">
                  <c:v>468</c:v>
                </c:pt>
                <c:pt idx="3">
                  <c:v>471</c:v>
                </c:pt>
                <c:pt idx="4">
                  <c:v>322</c:v>
                </c:pt>
              </c:numCache>
            </c:numRef>
          </c:val>
          <c:smooth val="0"/>
          <c:extLst>
            <c:ext xmlns:c16="http://schemas.microsoft.com/office/drawing/2014/chart" uri="{C3380CC4-5D6E-409C-BE32-E72D297353CC}">
              <c16:uniqueId val="{00000029-7624-4A09-9000-ED74D9702B80}"/>
            </c:ext>
          </c:extLst>
        </c:ser>
        <c:dLbls>
          <c:showLegendKey val="0"/>
          <c:showVal val="1"/>
          <c:showCatName val="0"/>
          <c:showSerName val="0"/>
          <c:showPercent val="0"/>
          <c:showBubbleSize val="0"/>
        </c:dLbls>
        <c:marker val="1"/>
        <c:smooth val="0"/>
        <c:axId val="104385152"/>
        <c:axId val="106848640"/>
      </c:lineChart>
      <c:catAx>
        <c:axId val="1043851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s-CR"/>
          </a:p>
        </c:txPr>
        <c:crossAx val="106848640"/>
        <c:crosses val="autoZero"/>
        <c:auto val="1"/>
        <c:lblAlgn val="ctr"/>
        <c:lblOffset val="100"/>
        <c:tickLblSkip val="1"/>
        <c:tickMarkSkip val="1"/>
        <c:noMultiLvlLbl val="0"/>
      </c:catAx>
      <c:valAx>
        <c:axId val="1068486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s-CR"/>
          </a:p>
        </c:txPr>
        <c:crossAx val="104385152"/>
        <c:crosses val="autoZero"/>
        <c:crossBetween val="between"/>
      </c:valAx>
      <c:spPr>
        <a:solidFill>
          <a:srgbClr val="FFFFFF"/>
        </a:solidFill>
        <a:ln w="12700">
          <a:solidFill>
            <a:srgbClr val="FFFFFF"/>
          </a:solidFill>
          <a:prstDash val="solid"/>
        </a:ln>
      </c:spPr>
    </c:plotArea>
    <c:legend>
      <c:legendPos val="b"/>
      <c:layout>
        <c:manualLayout>
          <c:xMode val="edge"/>
          <c:yMode val="edge"/>
          <c:x val="2.3413459603750554E-2"/>
          <c:y val="0.93515126907479107"/>
          <c:w val="0.97658654039624948"/>
          <c:h val="6.4848730925208931E-2"/>
        </c:manualLayout>
      </c:layout>
      <c:overlay val="0"/>
      <c:spPr>
        <a:solidFill>
          <a:srgbClr val="FFFFFF"/>
        </a:solidFill>
        <a:ln w="3175">
          <a:solidFill>
            <a:srgbClr val="000000"/>
          </a:solidFill>
          <a:prstDash val="solid"/>
        </a:ln>
      </c:spPr>
      <c:txPr>
        <a:bodyPr/>
        <a:lstStyle/>
        <a:p>
          <a:pPr>
            <a:defRPr sz="825" b="1" i="0" u="none" strike="noStrike" baseline="0">
              <a:solidFill>
                <a:srgbClr val="000000"/>
              </a:solidFill>
              <a:latin typeface="Arial"/>
              <a:ea typeface="Arial"/>
              <a:cs typeface="Arial"/>
            </a:defRPr>
          </a:pPr>
          <a:endParaRPr lang="es-CR"/>
        </a:p>
      </c:txPr>
    </c:legend>
    <c:plotVisOnly val="1"/>
    <c:dispBlanksAs val="gap"/>
    <c:showDLblsOverMax val="0"/>
  </c:chart>
  <c:spPr>
    <a:solidFill>
      <a:srgbClr val="FFFFFF"/>
    </a:solidFill>
    <a:ln w="9525">
      <a:noFill/>
    </a:ln>
  </c:spPr>
  <c:txPr>
    <a:bodyPr/>
    <a:lstStyle/>
    <a:p>
      <a:pPr>
        <a:defRPr sz="2500" b="0" i="0" u="none" strike="noStrike" baseline="0">
          <a:solidFill>
            <a:srgbClr val="000000"/>
          </a:solidFill>
          <a:latin typeface="Arial"/>
          <a:ea typeface="Arial"/>
          <a:cs typeface="Arial"/>
        </a:defRPr>
      </a:pPr>
      <a:endParaRPr lang="es-C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s-ES" sz="1600"/>
              <a:t>Total recurrentes en los asuntos entrados y reentrados en el 2020
 ( por tipo de recurrente )</a:t>
            </a:r>
          </a:p>
        </c:rich>
      </c:tx>
      <c:layout>
        <c:manualLayout>
          <c:xMode val="edge"/>
          <c:yMode val="edge"/>
          <c:x val="0.12420899801391266"/>
          <c:y val="9.4430411286869906E-5"/>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R"/>
        </a:p>
      </c:txPr>
    </c:title>
    <c:autoTitleDeleted val="0"/>
    <c:view3D>
      <c:rotX val="0"/>
      <c:hPercent val="10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031130998034023E-2"/>
          <c:y val="0.16605669074672244"/>
          <c:w val="0.92463898980835257"/>
          <c:h val="0.5321229050279308"/>
        </c:manualLayout>
      </c:layout>
      <c:bar3DChart>
        <c:barDir val="col"/>
        <c:grouping val="clustered"/>
        <c:varyColors val="0"/>
        <c:ser>
          <c:idx val="0"/>
          <c:order val="0"/>
          <c:tx>
            <c:strRef>
              <c:f>'2,2-Totalxrecurrente-casos entr'!$A$2</c:f>
              <c:strCache>
                <c:ptCount val="1"/>
                <c:pt idx="0">
                  <c:v>Defensa Pública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5675118981034147E-3"/>
                  <c:y val="-2.3771185905132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70-4227-A0E7-0D01DA7E7B6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'2,2-Totalxrecurrente-casos entr'!$B$2</c:f>
              <c:numCache>
                <c:formatCode>General</c:formatCode>
                <c:ptCount val="1"/>
                <c:pt idx="0">
                  <c:v>271</c:v>
                </c:pt>
              </c:numCache>
            </c:numRef>
          </c:val>
          <c:extLst>
            <c:ext xmlns:c16="http://schemas.microsoft.com/office/drawing/2014/chart" uri="{C3380CC4-5D6E-409C-BE32-E72D297353CC}">
              <c16:uniqueId val="{00000001-3E70-4227-A0E7-0D01DA7E7B6A}"/>
            </c:ext>
          </c:extLst>
        </c:ser>
        <c:ser>
          <c:idx val="1"/>
          <c:order val="1"/>
          <c:tx>
            <c:strRef>
              <c:f>'2,2-Totalxrecurrente-casos entr'!$A$3</c:f>
              <c:strCache>
                <c:ptCount val="1"/>
                <c:pt idx="0">
                  <c:v>Ministerio Público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2.8250669006654899E-3"/>
                  <c:y val="-2.5827710540997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70-4227-A0E7-0D01DA7E7B6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'2,2-Totalxrecurrente-casos entr'!$B$3</c:f>
              <c:numCache>
                <c:formatCode>General</c:formatCode>
                <c:ptCount val="1"/>
                <c:pt idx="0">
                  <c:v>196</c:v>
                </c:pt>
              </c:numCache>
            </c:numRef>
          </c:val>
          <c:extLst>
            <c:ext xmlns:c16="http://schemas.microsoft.com/office/drawing/2014/chart" uri="{C3380CC4-5D6E-409C-BE32-E72D297353CC}">
              <c16:uniqueId val="{00000003-3E70-4227-A0E7-0D01DA7E7B6A}"/>
            </c:ext>
          </c:extLst>
        </c:ser>
        <c:ser>
          <c:idx val="2"/>
          <c:order val="2"/>
          <c:tx>
            <c:strRef>
              <c:f>'2,2-Totalxrecurrente-casos entr'!$A$4</c:f>
              <c:strCache>
                <c:ptCount val="1"/>
                <c:pt idx="0">
                  <c:v>Imputado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5.9977828164928977E-3"/>
                  <c:y val="-1.3792256706274455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70-4227-A0E7-0D01DA7E7B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'2,2-Totalxrecurrente-casos entr'!$B$4</c:f>
              <c:numCache>
                <c:formatCode>General</c:formatCode>
                <c:ptCount val="1"/>
                <c:pt idx="0">
                  <c:v>375</c:v>
                </c:pt>
              </c:numCache>
            </c:numRef>
          </c:val>
          <c:extLst>
            <c:ext xmlns:c16="http://schemas.microsoft.com/office/drawing/2014/chart" uri="{C3380CC4-5D6E-409C-BE32-E72D297353CC}">
              <c16:uniqueId val="{00000005-3E70-4227-A0E7-0D01DA7E7B6A}"/>
            </c:ext>
          </c:extLst>
        </c:ser>
        <c:ser>
          <c:idx val="3"/>
          <c:order val="3"/>
          <c:tx>
            <c:strRef>
              <c:f>'2,2-Totalxrecurrente-casos entr'!$A$5</c:f>
              <c:strCache>
                <c:ptCount val="1"/>
                <c:pt idx="0">
                  <c:v>Defensor Privado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3.3425213596492698E-3"/>
                  <c:y val="-1.6409405485630506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70-4227-A0E7-0D01DA7E7B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'2,2-Totalxrecurrente-casos entr'!$B$5</c:f>
              <c:numCache>
                <c:formatCode>General</c:formatCode>
                <c:ptCount val="1"/>
                <c:pt idx="0">
                  <c:v>264</c:v>
                </c:pt>
              </c:numCache>
            </c:numRef>
          </c:val>
          <c:extLst>
            <c:ext xmlns:c16="http://schemas.microsoft.com/office/drawing/2014/chart" uri="{C3380CC4-5D6E-409C-BE32-E72D297353CC}">
              <c16:uniqueId val="{00000007-3E70-4227-A0E7-0D01DA7E7B6A}"/>
            </c:ext>
          </c:extLst>
        </c:ser>
        <c:ser>
          <c:idx val="4"/>
          <c:order val="4"/>
          <c:tx>
            <c:strRef>
              <c:f>'2,2-Totalxrecurrente-casos entr'!$A$6</c:f>
              <c:strCache>
                <c:ptCount val="1"/>
                <c:pt idx="0">
                  <c:v>Otros</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4.1232244948538454E-3"/>
                  <c:y val="-8.800083777649783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70-4227-A0E7-0D01DA7E7B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'2,2-Totalxrecurrente-casos entr'!$B$6</c:f>
              <c:numCache>
                <c:formatCode>General</c:formatCode>
                <c:ptCount val="1"/>
                <c:pt idx="0">
                  <c:v>246</c:v>
                </c:pt>
              </c:numCache>
            </c:numRef>
          </c:val>
          <c:extLst>
            <c:ext xmlns:c16="http://schemas.microsoft.com/office/drawing/2014/chart" uri="{C3380CC4-5D6E-409C-BE32-E72D297353CC}">
              <c16:uniqueId val="{00000009-3E70-4227-A0E7-0D01DA7E7B6A}"/>
            </c:ext>
          </c:extLst>
        </c:ser>
        <c:dLbls>
          <c:showLegendKey val="0"/>
          <c:showVal val="1"/>
          <c:showCatName val="0"/>
          <c:showSerName val="0"/>
          <c:showPercent val="0"/>
          <c:showBubbleSize val="0"/>
        </c:dLbls>
        <c:gapWidth val="65"/>
        <c:shape val="box"/>
        <c:axId val="106952960"/>
        <c:axId val="107032960"/>
        <c:axId val="0"/>
      </c:bar3DChart>
      <c:catAx>
        <c:axId val="106952960"/>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r>
                  <a:rPr lang="es-ES" sz="1050"/>
                  <a:t>NOTA: Corresponde a la cantidad de recursos de casación, procedimientos de revisión y otras gestiones presentadas y NO a la cantidad de expedientes ingresados.</a:t>
                </a:r>
              </a:p>
            </c:rich>
          </c:tx>
          <c:layout>
            <c:manualLayout>
              <c:xMode val="edge"/>
              <c:yMode val="edge"/>
              <c:x val="8.4067361691520681E-2"/>
              <c:y val="0.76847134119034255"/>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endParaRPr lang="es-CR"/>
            </a:p>
          </c:txPr>
        </c:title>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R"/>
          </a:p>
        </c:txPr>
        <c:crossAx val="107032960"/>
        <c:crosses val="autoZero"/>
        <c:auto val="1"/>
        <c:lblAlgn val="ctr"/>
        <c:lblOffset val="100"/>
        <c:tickLblSkip val="1"/>
        <c:tickMarkSkip val="1"/>
        <c:noMultiLvlLbl val="0"/>
      </c:catAx>
      <c:valAx>
        <c:axId val="1070329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R"/>
          </a:p>
        </c:txPr>
        <c:crossAx val="1069529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ES"/>
              <a:t>Cantidad recurrentes intervinientes en los Recursos entrados en Casación</a:t>
            </a:r>
          </a:p>
        </c:rich>
      </c:tx>
      <c:layout>
        <c:manualLayout>
          <c:xMode val="edge"/>
          <c:yMode val="edge"/>
          <c:x val="0.14097990758028142"/>
          <c:y val="3.034901365705621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78161412299005"/>
          <c:y val="0.33617287133818607"/>
          <c:w val="0.75350613074684247"/>
          <c:h val="0.39593385209720316"/>
        </c:manualLayout>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8-BBEC-40A2-A3F3-FCDD8688FBB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BBEC-40A2-A3F3-FCDD8688FBB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BBEC-40A2-A3F3-FCDD8688FBB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BBEC-40A2-A3F3-FCDD8688FBB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BBEC-40A2-A3F3-FCDD8688FBB1}"/>
              </c:ext>
            </c:extLst>
          </c:dPt>
          <c:dLbls>
            <c:dLbl>
              <c:idx val="0"/>
              <c:layout>
                <c:manualLayout>
                  <c:x val="3.521555917797755E-2"/>
                  <c:y val="-6.1735947649942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BBEC-40A2-A3F3-FCDD8688FBB1}"/>
                </c:ext>
              </c:extLst>
            </c:dLbl>
            <c:dLbl>
              <c:idx val="1"/>
              <c:layout>
                <c:manualLayout>
                  <c:x val="0.11649095209900108"/>
                  <c:y val="7.650540268202436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BEC-40A2-A3F3-FCDD8688FBB1}"/>
                </c:ext>
              </c:extLst>
            </c:dLbl>
            <c:dLbl>
              <c:idx val="2"/>
              <c:layout>
                <c:manualLayout>
                  <c:x val="-1.8655597066048447E-2"/>
                  <c:y val="7.794817567379194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BEC-40A2-A3F3-FCDD8688FBB1}"/>
                </c:ext>
              </c:extLst>
            </c:dLbl>
            <c:dLbl>
              <c:idx val="3"/>
              <c:layout>
                <c:manualLayout>
                  <c:x val="-9.1461861420787244E-3"/>
                  <c:y val="-8.511345034829674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BEC-40A2-A3F3-FCDD8688FBB1}"/>
                </c:ext>
              </c:extLst>
            </c:dLbl>
            <c:dLbl>
              <c:idx val="4"/>
              <c:layout>
                <c:manualLayout>
                  <c:x val="1.3700842895105921E-2"/>
                  <c:y val="-7.852687799457540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BEC-40A2-A3F3-FCDD8688FBB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s-CR"/>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'2,4-Recurrentes.entrad-Casac.%'!$A$2:$A$6</c:f>
              <c:strCache>
                <c:ptCount val="5"/>
                <c:pt idx="0">
                  <c:v>Def. Privado</c:v>
                </c:pt>
                <c:pt idx="1">
                  <c:v>Def. Público</c:v>
                </c:pt>
                <c:pt idx="2">
                  <c:v>Imputado</c:v>
                </c:pt>
                <c:pt idx="3">
                  <c:v>M.P.</c:v>
                </c:pt>
                <c:pt idx="4">
                  <c:v>Otros</c:v>
                </c:pt>
              </c:strCache>
            </c:strRef>
          </c:cat>
          <c:val>
            <c:numRef>
              <c:f>'2,4-Recurrentes.entrad-Casac.%'!$B$2:$B$6</c:f>
              <c:numCache>
                <c:formatCode>General</c:formatCode>
                <c:ptCount val="5"/>
                <c:pt idx="0">
                  <c:v>233</c:v>
                </c:pt>
                <c:pt idx="1">
                  <c:v>264</c:v>
                </c:pt>
                <c:pt idx="2">
                  <c:v>101</c:v>
                </c:pt>
                <c:pt idx="3">
                  <c:v>145</c:v>
                </c:pt>
                <c:pt idx="4">
                  <c:v>75</c:v>
                </c:pt>
              </c:numCache>
            </c:numRef>
          </c:val>
          <c:extLst>
            <c:ext xmlns:c16="http://schemas.microsoft.com/office/drawing/2014/chart" uri="{C3380CC4-5D6E-409C-BE32-E72D297353CC}">
              <c16:uniqueId val="{00000009-BBEC-40A2-A3F3-FCDD8688FBB1}"/>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lt1">
                  <a:lumMod val="85000"/>
                </a:schemeClr>
              </a:solidFill>
              <a:latin typeface="+mn-lt"/>
              <a:ea typeface="+mn-ea"/>
              <a:cs typeface="+mn-cs"/>
            </a:defRPr>
          </a:pPr>
          <a:endParaRPr lang="es-CR"/>
        </a:p>
      </c:txPr>
    </c:legend>
    <c:plotVisOnly val="1"/>
    <c:dispBlanksAs val="zero"/>
    <c:showDLblsOverMax val="0"/>
  </c:chart>
  <c:spPr>
    <a:solidFill>
      <a:schemeClr val="tx2"/>
    </a:solidFill>
    <a:ln>
      <a:noFill/>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s-ES" sz="1600" b="1"/>
              <a:t>Cantidad recurrentes intervinientes en los </a:t>
            </a:r>
          </a:p>
          <a:p>
            <a:pPr>
              <a:defRPr sz="1600" b="1"/>
            </a:pPr>
            <a:r>
              <a:rPr lang="es-ES" sz="1600" b="1"/>
              <a:t>Procedimientos entrados en Revisión</a:t>
            </a:r>
          </a:p>
        </c:rich>
      </c:tx>
      <c:layout>
        <c:manualLayout>
          <c:xMode val="edge"/>
          <c:yMode val="edge"/>
          <c:x val="0.2101943684727913"/>
          <c:y val="5.4623550394479622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54338170645849"/>
          <c:y val="0.35886162377850922"/>
          <c:w val="0.67572551576911966"/>
          <c:h val="0.4204999837983214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31D8-4613-A80D-758D7E7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1D8-4613-A80D-758D7E7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31D8-4613-A80D-758D7E7638B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31D8-4613-A80D-758D7E7638BC}"/>
              </c:ext>
            </c:extLst>
          </c:dPt>
          <c:dLbls>
            <c:dLbl>
              <c:idx val="0"/>
              <c:layout>
                <c:manualLayout>
                  <c:x val="7.1190358733333334E-2"/>
                  <c:y val="-0.123778134791489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31D8-4613-A80D-758D7E7638BC}"/>
                </c:ext>
              </c:extLst>
            </c:dLbl>
            <c:dLbl>
              <c:idx val="1"/>
              <c:layout>
                <c:manualLayout>
                  <c:x val="5.3980064945233129E-2"/>
                  <c:y val="-0.1031130105170533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1D8-4613-A80D-758D7E7638BC}"/>
                </c:ext>
              </c:extLst>
            </c:dLbl>
            <c:dLbl>
              <c:idx val="2"/>
              <c:layout>
                <c:manualLayout>
                  <c:x val="-4.0841020306992326E-2"/>
                  <c:y val="3.82348168611844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1D8-4613-A80D-758D7E7638BC}"/>
                </c:ext>
              </c:extLst>
            </c:dLbl>
            <c:dLbl>
              <c:idx val="3"/>
              <c:layout>
                <c:manualLayout>
                  <c:x val="-0.11319419237110485"/>
                  <c:y val="-4.066894169967214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1D8-4613-A80D-758D7E7638BC}"/>
                </c:ext>
              </c:extLst>
            </c:dLbl>
            <c:dLbl>
              <c:idx val="4"/>
              <c:layout>
                <c:manualLayout>
                  <c:x val="-3.4878682131024796E-2"/>
                  <c:y val="-0.1228812738049417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1D8-4613-A80D-758D7E7638B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'2,5-Recurrentes.entrad-Rev.%'!$A$2:$A$5</c:f>
              <c:strCache>
                <c:ptCount val="4"/>
                <c:pt idx="0">
                  <c:v>Def. Público</c:v>
                </c:pt>
                <c:pt idx="1">
                  <c:v>Def. Privado</c:v>
                </c:pt>
                <c:pt idx="2">
                  <c:v>Imputado</c:v>
                </c:pt>
                <c:pt idx="3">
                  <c:v>Otros</c:v>
                </c:pt>
              </c:strCache>
            </c:strRef>
          </c:cat>
          <c:val>
            <c:numRef>
              <c:f>'2,5-Recurrentes.entrad-Rev.%'!$B$2:$B$5</c:f>
              <c:numCache>
                <c:formatCode>General</c:formatCode>
                <c:ptCount val="4"/>
                <c:pt idx="0">
                  <c:v>6</c:v>
                </c:pt>
                <c:pt idx="1">
                  <c:v>30</c:v>
                </c:pt>
                <c:pt idx="2">
                  <c:v>266</c:v>
                </c:pt>
                <c:pt idx="3">
                  <c:v>5</c:v>
                </c:pt>
              </c:numCache>
            </c:numRef>
          </c:val>
          <c:extLst>
            <c:ext xmlns:c16="http://schemas.microsoft.com/office/drawing/2014/chart" uri="{C3380CC4-5D6E-409C-BE32-E72D297353CC}">
              <c16:uniqueId val="{00000008-31D8-4613-A80D-758D7E7638BC}"/>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accent1">
        <a:lumMod val="40000"/>
        <a:lumOff val="6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solidFill>
                <a:latin typeface="+mn-lt"/>
                <a:ea typeface="+mn-ea"/>
                <a:cs typeface="+mn-cs"/>
              </a:defRPr>
            </a:pPr>
            <a:r>
              <a:rPr lang="es-ES" b="1">
                <a:solidFill>
                  <a:schemeClr val="tx1"/>
                </a:solidFill>
              </a:rPr>
              <a:t>Total de asuntos resueltos</a:t>
            </a:r>
          </a:p>
          <a:p>
            <a:pPr>
              <a:defRPr b="1">
                <a:solidFill>
                  <a:schemeClr val="tx1"/>
                </a:solidFill>
              </a:defRPr>
            </a:pPr>
            <a:r>
              <a:rPr lang="es-ES" b="1">
                <a:solidFill>
                  <a:schemeClr val="tx1"/>
                </a:solidFill>
              </a:rPr>
              <a:t>(Casación, Revisión, Sup. Poderes y Otros)</a:t>
            </a:r>
          </a:p>
          <a:p>
            <a:pPr>
              <a:defRPr b="1">
                <a:solidFill>
                  <a:schemeClr val="tx1"/>
                </a:solidFill>
              </a:defRPr>
            </a:pPr>
            <a:r>
              <a:rPr lang="es-ES" b="1">
                <a:solidFill>
                  <a:schemeClr val="tx1"/>
                </a:solidFill>
              </a:rPr>
              <a:t>según tipo de resolución</a:t>
            </a:r>
          </a:p>
        </c:rich>
      </c:tx>
      <c:layout>
        <c:manualLayout>
          <c:xMode val="edge"/>
          <c:yMode val="edge"/>
          <c:x val="0.21358656892026431"/>
          <c:y val="4.2767735019038106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218481310525829E-2"/>
          <c:y val="0.37103489704631992"/>
          <c:w val="0.82482396596977103"/>
          <c:h val="0.44702949983364754"/>
        </c:manualLayout>
      </c:layout>
      <c:pie3DChart>
        <c:varyColors val="1"/>
        <c:ser>
          <c:idx val="0"/>
          <c:order val="0"/>
          <c:explosion val="2"/>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6-C2D7-49E7-9F4F-EA64DBB76392}"/>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1-C2D7-49E7-9F4F-EA64DBB76392}"/>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3-C2D7-49E7-9F4F-EA64DBB76392}"/>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5-C2D7-49E7-9F4F-EA64DBB76392}"/>
              </c:ext>
            </c:extLst>
          </c:dPt>
          <c:dLbls>
            <c:dLbl>
              <c:idx val="0"/>
              <c:layout>
                <c:manualLayout>
                  <c:x val="3.9308873843639201E-2"/>
                  <c:y val="-0.1100416443559887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C2D7-49E7-9F4F-EA64DBB76392}"/>
                </c:ext>
              </c:extLst>
            </c:dLbl>
            <c:dLbl>
              <c:idx val="1"/>
              <c:layout>
                <c:manualLayout>
                  <c:x val="6.4305731475190503E-2"/>
                  <c:y val="-7.72750739872298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2D7-49E7-9F4F-EA64DBB76392}"/>
                </c:ext>
              </c:extLst>
            </c:dLbl>
            <c:dLbl>
              <c:idx val="2"/>
              <c:layout>
                <c:manualLayout>
                  <c:x val="-0.29770875192325097"/>
                  <c:y val="-0.4414202802114524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2D7-49E7-9F4F-EA64DBB76392}"/>
                </c:ext>
              </c:extLst>
            </c:dLbl>
            <c:dLbl>
              <c:idx val="3"/>
              <c:layout>
                <c:manualLayout>
                  <c:x val="1.6108829697723266E-2"/>
                  <c:y val="-0.1033172841660763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2D7-49E7-9F4F-EA64DBB7639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65000"/>
                        <a:lumOff val="35000"/>
                      </a:schemeClr>
                    </a:solidFill>
                    <a:latin typeface="+mn-lt"/>
                    <a:ea typeface="+mn-ea"/>
                    <a:cs typeface="+mn-cs"/>
                  </a:defRPr>
                </a:pPr>
                <a:endParaRPr lang="es-CR"/>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'3-Totalresueltosxresolución%'!$A$2:$A$5</c:f>
              <c:strCache>
                <c:ptCount val="4"/>
                <c:pt idx="0">
                  <c:v>Con lugar</c:v>
                </c:pt>
                <c:pt idx="1">
                  <c:v>Sin lugar</c:v>
                </c:pt>
                <c:pt idx="2">
                  <c:v>Inadmisible</c:v>
                </c:pt>
                <c:pt idx="3">
                  <c:v>Ot. Tipo res.</c:v>
                </c:pt>
              </c:strCache>
            </c:strRef>
          </c:cat>
          <c:val>
            <c:numRef>
              <c:f>'3-Totalresueltosxresolución%'!$B$2:$B$5</c:f>
              <c:numCache>
                <c:formatCode>General</c:formatCode>
                <c:ptCount val="4"/>
                <c:pt idx="0">
                  <c:v>144</c:v>
                </c:pt>
                <c:pt idx="1">
                  <c:v>157</c:v>
                </c:pt>
                <c:pt idx="2">
                  <c:v>864</c:v>
                </c:pt>
                <c:pt idx="3">
                  <c:v>248</c:v>
                </c:pt>
              </c:numCache>
            </c:numRef>
          </c:val>
          <c:extLst>
            <c:ext xmlns:c16="http://schemas.microsoft.com/office/drawing/2014/chart" uri="{C3380CC4-5D6E-409C-BE32-E72D297353CC}">
              <c16:uniqueId val="{00000007-C2D7-49E7-9F4F-EA64DBB76392}"/>
            </c:ext>
          </c:extLst>
        </c:ser>
        <c:dLbls>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3.0793918001629113E-2"/>
          <c:y val="0.93778510960777794"/>
          <c:w val="0.92461887953660959"/>
          <c:h val="4.813038334996858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R"/>
        </a:p>
      </c:txPr>
    </c:legend>
    <c:plotVisOnly val="1"/>
    <c:dispBlanksAs val="zero"/>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a:t>CASACIÓN 
Recursos resueltos según recurrente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view3D>
      <c:rotX val="0"/>
      <c:hPercent val="10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129183168394085E-2"/>
          <c:y val="0.1631660387007498"/>
          <c:w val="0.93287081683160589"/>
          <c:h val="0.67229711436500239"/>
        </c:manualLayout>
      </c:layout>
      <c:bar3DChart>
        <c:barDir val="col"/>
        <c:grouping val="clustered"/>
        <c:varyColors val="0"/>
        <c:ser>
          <c:idx val="0"/>
          <c:order val="0"/>
          <c:tx>
            <c:strRef>
              <c:f>'4-ResueltosCasaciónxRecurrente'!$A$2</c:f>
              <c:strCache>
                <c:ptCount val="1"/>
                <c:pt idx="0">
                  <c:v>Imputado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1.8639888512720824E-4"/>
                  <c:y val="-1.125006433019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E2-432C-B6B3-12FA60587D48}"/>
                </c:ext>
              </c:extLst>
            </c:dLbl>
            <c:dLbl>
              <c:idx val="1"/>
              <c:layout>
                <c:manualLayout>
                  <c:x val="-2.1245806840989802E-3"/>
                  <c:y val="-6.10317972548505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E2-432C-B6B3-12FA60587D48}"/>
                </c:ext>
              </c:extLst>
            </c:dLbl>
            <c:dLbl>
              <c:idx val="2"/>
              <c:layout>
                <c:manualLayout>
                  <c:x val="4.604806859478958E-3"/>
                  <c:y val="-1.4451134784622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E2-432C-B6B3-12FA60587D48}"/>
                </c:ext>
              </c:extLst>
            </c:dLbl>
            <c:dLbl>
              <c:idx val="3"/>
              <c:layout>
                <c:manualLayout>
                  <c:x val="1.0320153831038507E-2"/>
                  <c:y val="-1.762781291682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E2-432C-B6B3-12FA60587D4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'4-ResueltosCasaciónxRecurrente'!$B$1:$E$1</c:f>
              <c:strCache>
                <c:ptCount val="4"/>
                <c:pt idx="0">
                  <c:v>Con lugar  146</c:v>
                </c:pt>
                <c:pt idx="1">
                  <c:v>Sin lugar 146</c:v>
                </c:pt>
                <c:pt idx="2">
                  <c:v>Inadmisibles  660</c:v>
                </c:pt>
                <c:pt idx="3">
                  <c:v>Otro tipo res. 6</c:v>
                </c:pt>
              </c:strCache>
            </c:strRef>
          </c:cat>
          <c:val>
            <c:numRef>
              <c:f>'4-ResueltosCasaciónxRecurrente'!$B$2:$E$2</c:f>
              <c:numCache>
                <c:formatCode>General</c:formatCode>
                <c:ptCount val="4"/>
                <c:pt idx="0">
                  <c:v>4</c:v>
                </c:pt>
                <c:pt idx="1">
                  <c:v>9</c:v>
                </c:pt>
                <c:pt idx="2">
                  <c:v>106</c:v>
                </c:pt>
                <c:pt idx="3">
                  <c:v>1</c:v>
                </c:pt>
              </c:numCache>
            </c:numRef>
          </c:val>
          <c:extLst>
            <c:ext xmlns:c16="http://schemas.microsoft.com/office/drawing/2014/chart" uri="{C3380CC4-5D6E-409C-BE32-E72D297353CC}">
              <c16:uniqueId val="{00000004-F4E2-432C-B6B3-12FA60587D48}"/>
            </c:ext>
          </c:extLst>
        </c:ser>
        <c:ser>
          <c:idx val="1"/>
          <c:order val="1"/>
          <c:tx>
            <c:strRef>
              <c:f>'4-ResueltosCasaciónxRecurrente'!$A$3</c:f>
              <c:strCache>
                <c:ptCount val="1"/>
                <c:pt idx="0">
                  <c:v>Otros</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2.1979872836751048E-4"/>
                  <c:y val="-4.4299298653242124E-3"/>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F4E2-432C-B6B3-12FA60587D48}"/>
                </c:ext>
              </c:extLst>
            </c:dLbl>
            <c:dLbl>
              <c:idx val="1"/>
              <c:layout>
                <c:manualLayout>
                  <c:x val="-1.3905146883377553E-3"/>
                  <c:y val="-3.7007013467578887E-3"/>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F4E2-432C-B6B3-12FA60587D48}"/>
                </c:ext>
              </c:extLst>
            </c:dLbl>
            <c:dLbl>
              <c:idx val="2"/>
              <c:layout>
                <c:manualLayout>
                  <c:x val="1.0303803464536071E-3"/>
                  <c:y val="-2.248468941382337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F4E2-432C-B6B3-12FA60587D48}"/>
                </c:ext>
              </c:extLst>
            </c:dLbl>
            <c:dLbl>
              <c:idx val="3"/>
              <c:layout>
                <c:manualLayout>
                  <c:x val="1.1506730107934376E-2"/>
                  <c:y val="-1.7981670323996307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F4E2-432C-B6B3-12FA60587D4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'4-ResueltosCasaciónxRecurrente'!$B$1:$E$1</c:f>
              <c:strCache>
                <c:ptCount val="4"/>
                <c:pt idx="0">
                  <c:v>Con lugar  146</c:v>
                </c:pt>
                <c:pt idx="1">
                  <c:v>Sin lugar 146</c:v>
                </c:pt>
                <c:pt idx="2">
                  <c:v>Inadmisibles  660</c:v>
                </c:pt>
                <c:pt idx="3">
                  <c:v>Otro tipo res. 6</c:v>
                </c:pt>
              </c:strCache>
            </c:strRef>
          </c:cat>
          <c:val>
            <c:numRef>
              <c:f>'4-ResueltosCasaciónxRecurrente'!$B$3:$E$3</c:f>
              <c:numCache>
                <c:formatCode>General</c:formatCode>
                <c:ptCount val="4"/>
                <c:pt idx="0">
                  <c:v>10</c:v>
                </c:pt>
                <c:pt idx="1">
                  <c:v>13</c:v>
                </c:pt>
                <c:pt idx="2">
                  <c:v>59</c:v>
                </c:pt>
                <c:pt idx="3">
                  <c:v>1</c:v>
                </c:pt>
              </c:numCache>
            </c:numRef>
          </c:val>
          <c:extLst>
            <c:ext xmlns:c16="http://schemas.microsoft.com/office/drawing/2014/chart" uri="{C3380CC4-5D6E-409C-BE32-E72D297353CC}">
              <c16:uniqueId val="{00000009-F4E2-432C-B6B3-12FA60587D48}"/>
            </c:ext>
          </c:extLst>
        </c:ser>
        <c:ser>
          <c:idx val="2"/>
          <c:order val="2"/>
          <c:tx>
            <c:strRef>
              <c:f>'4-ResueltosCasaciónxRecurrente'!$A$4</c:f>
              <c:strCache>
                <c:ptCount val="1"/>
                <c:pt idx="0">
                  <c:v>Def. priv.</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7.4009473023948125E-4"/>
                  <c:y val="-1.65045545777366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4E2-432C-B6B3-12FA60587D48}"/>
                </c:ext>
              </c:extLst>
            </c:dLbl>
            <c:dLbl>
              <c:idx val="1"/>
              <c:layout>
                <c:manualLayout>
                  <c:x val="4.9967016155066256E-5"/>
                  <c:y val="-7.056494987306915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4E2-432C-B6B3-12FA60587D48}"/>
                </c:ext>
              </c:extLst>
            </c:dLbl>
            <c:dLbl>
              <c:idx val="2"/>
              <c:layout>
                <c:manualLayout>
                  <c:x val="1.9560130284919275E-3"/>
                  <c:y val="-7.738049137300483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4E2-432C-B6B3-12FA60587D48}"/>
                </c:ext>
              </c:extLst>
            </c:dLbl>
            <c:dLbl>
              <c:idx val="3"/>
              <c:layout>
                <c:manualLayout>
                  <c:x val="1.3729550934281222E-2"/>
                  <c:y val="-1.9194929065239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4E2-432C-B6B3-12FA60587D4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'4-ResueltosCasaciónxRecurrente'!$B$1:$E$1</c:f>
              <c:strCache>
                <c:ptCount val="4"/>
                <c:pt idx="0">
                  <c:v>Con lugar  146</c:v>
                </c:pt>
                <c:pt idx="1">
                  <c:v>Sin lugar 146</c:v>
                </c:pt>
                <c:pt idx="2">
                  <c:v>Inadmisibles  660</c:v>
                </c:pt>
                <c:pt idx="3">
                  <c:v>Otro tipo res. 6</c:v>
                </c:pt>
              </c:strCache>
            </c:strRef>
          </c:cat>
          <c:val>
            <c:numRef>
              <c:f>'4-ResueltosCasaciónxRecurrente'!$B$4:$E$4</c:f>
              <c:numCache>
                <c:formatCode>General</c:formatCode>
                <c:ptCount val="4"/>
                <c:pt idx="0">
                  <c:v>19</c:v>
                </c:pt>
                <c:pt idx="1">
                  <c:v>28</c:v>
                </c:pt>
                <c:pt idx="2">
                  <c:v>226</c:v>
                </c:pt>
                <c:pt idx="3">
                  <c:v>0</c:v>
                </c:pt>
              </c:numCache>
            </c:numRef>
          </c:val>
          <c:extLst>
            <c:ext xmlns:c16="http://schemas.microsoft.com/office/drawing/2014/chart" uri="{C3380CC4-5D6E-409C-BE32-E72D297353CC}">
              <c16:uniqueId val="{0000000E-F4E2-432C-B6B3-12FA60587D48}"/>
            </c:ext>
          </c:extLst>
        </c:ser>
        <c:ser>
          <c:idx val="3"/>
          <c:order val="3"/>
          <c:tx>
            <c:strRef>
              <c:f>'4-ResueltosCasaciónxRecurrente'!$A$5</c:f>
              <c:strCache>
                <c:ptCount val="1"/>
                <c:pt idx="0">
                  <c:v>M. P.</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5.0140671435188232E-3"/>
                  <c:y val="-8.37459043109807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4E2-432C-B6B3-12FA60587D48}"/>
                </c:ext>
              </c:extLst>
            </c:dLbl>
            <c:dLbl>
              <c:idx val="1"/>
              <c:layout>
                <c:manualLayout>
                  <c:x val="1.5099583140342758E-3"/>
                  <c:y val="-1.2821135063035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4E2-432C-B6B3-12FA60587D48}"/>
                </c:ext>
              </c:extLst>
            </c:dLbl>
            <c:dLbl>
              <c:idx val="2"/>
              <c:layout>
                <c:manualLayout>
                  <c:x val="1.2807457967130011E-3"/>
                  <c:y val="-1.4968177997358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4E2-432C-B6B3-12FA60587D48}"/>
                </c:ext>
              </c:extLst>
            </c:dLbl>
            <c:dLbl>
              <c:idx val="3"/>
              <c:layout>
                <c:manualLayout>
                  <c:x val="1.0770900839408003E-2"/>
                  <c:y val="-1.93462336815741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4E2-432C-B6B3-12FA60587D4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'4-ResueltosCasaciónxRecurrente'!$B$1:$E$1</c:f>
              <c:strCache>
                <c:ptCount val="4"/>
                <c:pt idx="0">
                  <c:v>Con lugar  146</c:v>
                </c:pt>
                <c:pt idx="1">
                  <c:v>Sin lugar 146</c:v>
                </c:pt>
                <c:pt idx="2">
                  <c:v>Inadmisibles  660</c:v>
                </c:pt>
                <c:pt idx="3">
                  <c:v>Otro tipo res. 6</c:v>
                </c:pt>
              </c:strCache>
            </c:strRef>
          </c:cat>
          <c:val>
            <c:numRef>
              <c:f>'4-ResueltosCasaciónxRecurrente'!$B$5:$E$5</c:f>
              <c:numCache>
                <c:formatCode>General</c:formatCode>
                <c:ptCount val="4"/>
                <c:pt idx="0">
                  <c:v>85</c:v>
                </c:pt>
                <c:pt idx="1">
                  <c:v>39</c:v>
                </c:pt>
                <c:pt idx="2">
                  <c:v>46</c:v>
                </c:pt>
                <c:pt idx="3">
                  <c:v>2</c:v>
                </c:pt>
              </c:numCache>
            </c:numRef>
          </c:val>
          <c:extLst>
            <c:ext xmlns:c16="http://schemas.microsoft.com/office/drawing/2014/chart" uri="{C3380CC4-5D6E-409C-BE32-E72D297353CC}">
              <c16:uniqueId val="{00000013-F4E2-432C-B6B3-12FA60587D48}"/>
            </c:ext>
          </c:extLst>
        </c:ser>
        <c:ser>
          <c:idx val="4"/>
          <c:order val="4"/>
          <c:tx>
            <c:strRef>
              <c:f>'4-ResueltosCasaciónxRecurrente'!$A$6</c:f>
              <c:strCache>
                <c:ptCount val="1"/>
                <c:pt idx="0">
                  <c:v>Def. pub.</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9.7803416284194446E-3"/>
                  <c:y val="-1.5655264403424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4E2-432C-B6B3-12FA60587D48}"/>
                </c:ext>
              </c:extLst>
            </c:dLbl>
            <c:dLbl>
              <c:idx val="1"/>
              <c:layout>
                <c:manualLayout>
                  <c:x val="8.6697484825229067E-3"/>
                  <c:y val="-4.65184498996448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4E2-432C-B6B3-12FA60587D48}"/>
                </c:ext>
              </c:extLst>
            </c:dLbl>
            <c:dLbl>
              <c:idx val="2"/>
              <c:layout>
                <c:manualLayout>
                  <c:x val="1.0745125614145871E-2"/>
                  <c:y val="-1.3632854716689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4E2-432C-B6B3-12FA60587D48}"/>
                </c:ext>
              </c:extLst>
            </c:dLbl>
            <c:dLbl>
              <c:idx val="3"/>
              <c:layout>
                <c:manualLayout>
                  <c:x val="1.2993669908908446E-2"/>
                  <c:y val="-1.4966137429542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4E2-432C-B6B3-12FA60587D4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'4-ResueltosCasaciónxRecurrente'!$B$1:$E$1</c:f>
              <c:strCache>
                <c:ptCount val="4"/>
                <c:pt idx="0">
                  <c:v>Con lugar  146</c:v>
                </c:pt>
                <c:pt idx="1">
                  <c:v>Sin lugar 146</c:v>
                </c:pt>
                <c:pt idx="2">
                  <c:v>Inadmisibles  660</c:v>
                </c:pt>
                <c:pt idx="3">
                  <c:v>Otro tipo res. 6</c:v>
                </c:pt>
              </c:strCache>
            </c:strRef>
          </c:cat>
          <c:val>
            <c:numRef>
              <c:f>'4-ResueltosCasaciónxRecurrente'!$B$6:$E$6</c:f>
              <c:numCache>
                <c:formatCode>General</c:formatCode>
                <c:ptCount val="4"/>
                <c:pt idx="0">
                  <c:v>28</c:v>
                </c:pt>
                <c:pt idx="1">
                  <c:v>57</c:v>
                </c:pt>
                <c:pt idx="2">
                  <c:v>223</c:v>
                </c:pt>
                <c:pt idx="3">
                  <c:v>2</c:v>
                </c:pt>
              </c:numCache>
            </c:numRef>
          </c:val>
          <c:extLst>
            <c:ext xmlns:c16="http://schemas.microsoft.com/office/drawing/2014/chart" uri="{C3380CC4-5D6E-409C-BE32-E72D297353CC}">
              <c16:uniqueId val="{00000018-F4E2-432C-B6B3-12FA60587D48}"/>
            </c:ext>
          </c:extLst>
        </c:ser>
        <c:dLbls>
          <c:showLegendKey val="0"/>
          <c:showVal val="1"/>
          <c:showCatName val="0"/>
          <c:showSerName val="0"/>
          <c:showPercent val="0"/>
          <c:showBubbleSize val="0"/>
        </c:dLbls>
        <c:gapWidth val="65"/>
        <c:shape val="box"/>
        <c:axId val="115527680"/>
        <c:axId val="115529600"/>
        <c:axId val="0"/>
      </c:bar3DChart>
      <c:catAx>
        <c:axId val="115527680"/>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s-ES" sz="1100"/>
                  <a:t>NOTA: Corresponde a la cantidad de recursos de casación resueltos y NO a la cantidad  de expedientes en casación terminados.</a:t>
                </a:r>
              </a:p>
            </c:rich>
          </c:tx>
          <c:layout>
            <c:manualLayout>
              <c:xMode val="edge"/>
              <c:yMode val="edge"/>
              <c:x val="7.2081105795188199E-2"/>
              <c:y val="0.9406943450250536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CR"/>
            </a:p>
          </c:txPr>
        </c:title>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es-CR"/>
          </a:p>
        </c:txPr>
        <c:crossAx val="115529600"/>
        <c:crosses val="autoZero"/>
        <c:auto val="1"/>
        <c:lblAlgn val="ctr"/>
        <c:lblOffset val="100"/>
        <c:tickLblSkip val="1"/>
        <c:tickMarkSkip val="1"/>
        <c:noMultiLvlLbl val="0"/>
      </c:catAx>
      <c:valAx>
        <c:axId val="115529600"/>
        <c:scaling>
          <c:orientation val="minMax"/>
        </c:scaling>
        <c:delete val="0"/>
        <c:axPos val="l"/>
        <c:majorGridlines>
          <c:spPr>
            <a:ln w="9525" cap="flat" cmpd="sng" algn="ctr">
              <a:solidFill>
                <a:schemeClr val="dk1">
                  <a:lumMod val="15000"/>
                  <a:lumOff val="85000"/>
                </a:schemeClr>
              </a:solidFill>
              <a:round/>
            </a:ln>
            <a:effectLst/>
          </c:spPr>
        </c:majorGridlines>
        <c:minorGridlines>
          <c:spPr>
            <a:ln w="9525" cap="flat" cmpd="sng" algn="ctr">
              <a:solidFill>
                <a:schemeClr val="dk1">
                  <a:lumMod val="5000"/>
                  <a:lumOff val="95000"/>
                </a:schemeClr>
              </a:solidFill>
              <a:round/>
            </a:ln>
            <a:effectLst/>
          </c:spPr>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R"/>
          </a:p>
        </c:txPr>
        <c:crossAx val="115527680"/>
        <c:crosses val="autoZero"/>
        <c:crossBetween val="between"/>
      </c:valAx>
      <c:spPr>
        <a:noFill/>
        <a:ln>
          <a:solidFill>
            <a:schemeClr val="tx2"/>
          </a:solidFill>
        </a:ln>
        <a:effectLst/>
      </c:spPr>
    </c:plotArea>
    <c:legend>
      <c:legendPos val="r"/>
      <c:layout>
        <c:manualLayout>
          <c:xMode val="edge"/>
          <c:yMode val="edge"/>
          <c:x val="0.84223818039391929"/>
          <c:y val="0.19542676483621366"/>
          <c:w val="0.14587121318515331"/>
          <c:h val="0.4531939189419504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C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mj-lt"/>
                <a:ea typeface="+mj-ea"/>
                <a:cs typeface="+mj-cs"/>
              </a:defRPr>
            </a:pPr>
            <a:r>
              <a:rPr lang="es-ES" sz="1600" b="1">
                <a:solidFill>
                  <a:schemeClr val="tx1"/>
                </a:solidFill>
              </a:rPr>
              <a:t>REVISIÓN 
Total Procedimientos de Revisión
 resueltos según recurrente </a:t>
            </a:r>
          </a:p>
        </c:rich>
      </c:tx>
      <c:layout>
        <c:manualLayout>
          <c:xMode val="edge"/>
          <c:yMode val="edge"/>
          <c:x val="0.22553566260491198"/>
          <c:y val="2.6050175386955136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mj-lt"/>
              <a:ea typeface="+mj-ea"/>
              <a:cs typeface="+mj-cs"/>
            </a:defRPr>
          </a:pPr>
          <a:endParaRPr lang="es-CR"/>
        </a:p>
      </c:txPr>
    </c:title>
    <c:autoTitleDeleted val="0"/>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071649815340387E-2"/>
          <c:y val="0.13923130196960673"/>
          <c:w val="0.82360796041422335"/>
          <c:h val="0.69290262246630963"/>
        </c:manualLayout>
      </c:layout>
      <c:bar3DChart>
        <c:barDir val="col"/>
        <c:grouping val="clustered"/>
        <c:varyColors val="0"/>
        <c:ser>
          <c:idx val="0"/>
          <c:order val="0"/>
          <c:tx>
            <c:strRef>
              <c:f>'5-Resueltos-Revisiónxrecurrente'!$A$2</c:f>
              <c:strCache>
                <c:ptCount val="1"/>
                <c:pt idx="0">
                  <c:v>Imputado</c:v>
                </c:pt>
              </c:strCache>
            </c:strRef>
          </c:tx>
          <c:spPr>
            <a:solidFill>
              <a:schemeClr val="accent1"/>
            </a:solidFill>
            <a:ln>
              <a:noFill/>
            </a:ln>
            <a:effectLst/>
            <a:sp3d/>
          </c:spPr>
          <c:invertIfNegative val="0"/>
          <c:dLbls>
            <c:dLbl>
              <c:idx val="0"/>
              <c:layout>
                <c:manualLayout>
                  <c:x val="-1.384522752146476E-3"/>
                  <c:y val="-1.9904886305099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2F-43CD-B7D7-1653F95D838A}"/>
                </c:ext>
              </c:extLst>
            </c:dLbl>
            <c:dLbl>
              <c:idx val="1"/>
              <c:layout>
                <c:manualLayout>
                  <c:x val="1.1688071311661968E-2"/>
                  <c:y val="-3.2853317831915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2F-43CD-B7D7-1653F95D838A}"/>
                </c:ext>
              </c:extLst>
            </c:dLbl>
            <c:dLbl>
              <c:idx val="2"/>
              <c:layout>
                <c:manualLayout>
                  <c:x val="8.6183381069761724E-3"/>
                  <c:y val="-2.92408688399934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2F-43CD-B7D7-1653F95D838A}"/>
                </c:ext>
              </c:extLst>
            </c:dLbl>
            <c:dLbl>
              <c:idx val="3"/>
              <c:layout>
                <c:manualLayout>
                  <c:x val="4.9005518796842408E-3"/>
                  <c:y val="-6.03321927048838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2F-43CD-B7D7-1653F95D838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'5-Resueltos-Revisiónxrecurrente'!$B$1:$E$1</c:f>
              <c:strCache>
                <c:ptCount val="4"/>
                <c:pt idx="0">
                  <c:v>Con lugar  35</c:v>
                </c:pt>
                <c:pt idx="1">
                  <c:v>Sin lugar  57</c:v>
                </c:pt>
                <c:pt idx="2">
                  <c:v>Inadmisibles  363</c:v>
                </c:pt>
                <c:pt idx="3">
                  <c:v>Otro tipo res.  14</c:v>
                </c:pt>
              </c:strCache>
            </c:strRef>
          </c:cat>
          <c:val>
            <c:numRef>
              <c:f>'5-Resueltos-Revisiónxrecurrente'!$B$2:$E$2</c:f>
              <c:numCache>
                <c:formatCode>General</c:formatCode>
                <c:ptCount val="4"/>
                <c:pt idx="0">
                  <c:v>17</c:v>
                </c:pt>
                <c:pt idx="1">
                  <c:v>39</c:v>
                </c:pt>
                <c:pt idx="2">
                  <c:v>306</c:v>
                </c:pt>
                <c:pt idx="3">
                  <c:v>11</c:v>
                </c:pt>
              </c:numCache>
            </c:numRef>
          </c:val>
          <c:extLst>
            <c:ext xmlns:c16="http://schemas.microsoft.com/office/drawing/2014/chart" uri="{C3380CC4-5D6E-409C-BE32-E72D297353CC}">
              <c16:uniqueId val="{00000004-4F2F-43CD-B7D7-1653F95D838A}"/>
            </c:ext>
          </c:extLst>
        </c:ser>
        <c:ser>
          <c:idx val="1"/>
          <c:order val="1"/>
          <c:tx>
            <c:strRef>
              <c:f>'5-Resueltos-Revisiónxrecurrente'!$A$3</c:f>
              <c:strCache>
                <c:ptCount val="1"/>
                <c:pt idx="0">
                  <c:v>Otros</c:v>
                </c:pt>
              </c:strCache>
            </c:strRef>
          </c:tx>
          <c:spPr>
            <a:solidFill>
              <a:schemeClr val="accent2"/>
            </a:solidFill>
            <a:ln>
              <a:noFill/>
            </a:ln>
            <a:effectLst/>
            <a:sp3d/>
          </c:spPr>
          <c:invertIfNegative val="0"/>
          <c:dLbls>
            <c:dLbl>
              <c:idx val="0"/>
              <c:layout>
                <c:manualLayout>
                  <c:x val="1.1673198201208082E-2"/>
                  <c:y val="-1.5262805336438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2F-43CD-B7D7-1653F95D838A}"/>
                </c:ext>
              </c:extLst>
            </c:dLbl>
            <c:dLbl>
              <c:idx val="1"/>
              <c:layout>
                <c:manualLayout>
                  <c:x val="1.5576067796370675E-2"/>
                  <c:y val="-1.7503694391142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F2F-43CD-B7D7-1653F95D838A}"/>
                </c:ext>
              </c:extLst>
            </c:dLbl>
            <c:dLbl>
              <c:idx val="2"/>
              <c:layout>
                <c:manualLayout>
                  <c:x val="7.1143627059825501E-3"/>
                  <c:y val="-3.51839912628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F2F-43CD-B7D7-1653F95D838A}"/>
                </c:ext>
              </c:extLst>
            </c:dLbl>
            <c:dLbl>
              <c:idx val="3"/>
              <c:layout>
                <c:manualLayout>
                  <c:x val="4.939140212036233E-3"/>
                  <c:y val="-7.04552701940294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2F-43CD-B7D7-1653F95D838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'5-Resueltos-Revisiónxrecurrente'!$B$1:$E$1</c:f>
              <c:strCache>
                <c:ptCount val="4"/>
                <c:pt idx="0">
                  <c:v>Con lugar  35</c:v>
                </c:pt>
                <c:pt idx="1">
                  <c:v>Sin lugar  57</c:v>
                </c:pt>
                <c:pt idx="2">
                  <c:v>Inadmisibles  363</c:v>
                </c:pt>
                <c:pt idx="3">
                  <c:v>Otro tipo res.  14</c:v>
                </c:pt>
              </c:strCache>
            </c:strRef>
          </c:cat>
          <c:val>
            <c:numRef>
              <c:f>'5-Resueltos-Revisiónxrecurrente'!$B$3:$E$3</c:f>
              <c:numCache>
                <c:formatCode>General</c:formatCode>
                <c:ptCount val="4"/>
                <c:pt idx="0">
                  <c:v>0</c:v>
                </c:pt>
                <c:pt idx="1">
                  <c:v>0</c:v>
                </c:pt>
                <c:pt idx="2">
                  <c:v>6</c:v>
                </c:pt>
                <c:pt idx="3">
                  <c:v>0</c:v>
                </c:pt>
              </c:numCache>
            </c:numRef>
          </c:val>
          <c:extLst>
            <c:ext xmlns:c16="http://schemas.microsoft.com/office/drawing/2014/chart" uri="{C3380CC4-5D6E-409C-BE32-E72D297353CC}">
              <c16:uniqueId val="{00000009-4F2F-43CD-B7D7-1653F95D838A}"/>
            </c:ext>
          </c:extLst>
        </c:ser>
        <c:ser>
          <c:idx val="2"/>
          <c:order val="2"/>
          <c:tx>
            <c:strRef>
              <c:f>'5-Resueltos-Revisiónxrecurrente'!$A$4</c:f>
              <c:strCache>
                <c:ptCount val="1"/>
                <c:pt idx="0">
                  <c:v>Def. priv.</c:v>
                </c:pt>
              </c:strCache>
            </c:strRef>
          </c:tx>
          <c:spPr>
            <a:solidFill>
              <a:schemeClr val="accent3"/>
            </a:solidFill>
            <a:ln>
              <a:noFill/>
            </a:ln>
            <a:effectLst/>
            <a:sp3d/>
          </c:spPr>
          <c:invertIfNegative val="0"/>
          <c:dLbls>
            <c:dLbl>
              <c:idx val="0"/>
              <c:layout>
                <c:manualLayout>
                  <c:x val="2.0759524831258824E-3"/>
                  <c:y val="-2.5404739127235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F2F-43CD-B7D7-1653F95D838A}"/>
                </c:ext>
              </c:extLst>
            </c:dLbl>
            <c:dLbl>
              <c:idx val="1"/>
              <c:layout>
                <c:manualLayout>
                  <c:x val="1.544229525045588E-2"/>
                  <c:y val="-2.35403124944952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F2F-43CD-B7D7-1653F95D838A}"/>
                </c:ext>
              </c:extLst>
            </c:dLbl>
            <c:dLbl>
              <c:idx val="2"/>
              <c:layout>
                <c:manualLayout>
                  <c:x val="8.8072878722858482E-3"/>
                  <c:y val="-7.924608138935903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F2F-43CD-B7D7-1653F95D838A}"/>
                </c:ext>
              </c:extLst>
            </c:dLbl>
            <c:dLbl>
              <c:idx val="3"/>
              <c:layout>
                <c:manualLayout>
                  <c:x val="5.5666995998123808E-3"/>
                  <c:y val="-3.23898618981038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F2F-43CD-B7D7-1653F95D838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'5-Resueltos-Revisiónxrecurrente'!$B$1:$E$1</c:f>
              <c:strCache>
                <c:ptCount val="4"/>
                <c:pt idx="0">
                  <c:v>Con lugar  35</c:v>
                </c:pt>
                <c:pt idx="1">
                  <c:v>Sin lugar  57</c:v>
                </c:pt>
                <c:pt idx="2">
                  <c:v>Inadmisibles  363</c:v>
                </c:pt>
                <c:pt idx="3">
                  <c:v>Otro tipo res.  14</c:v>
                </c:pt>
              </c:strCache>
            </c:strRef>
          </c:cat>
          <c:val>
            <c:numRef>
              <c:f>'5-Resueltos-Revisiónxrecurrente'!$B$4:$E$4</c:f>
              <c:numCache>
                <c:formatCode>General</c:formatCode>
                <c:ptCount val="4"/>
                <c:pt idx="0">
                  <c:v>6</c:v>
                </c:pt>
                <c:pt idx="1">
                  <c:v>5</c:v>
                </c:pt>
                <c:pt idx="2">
                  <c:v>40</c:v>
                </c:pt>
                <c:pt idx="3">
                  <c:v>0</c:v>
                </c:pt>
              </c:numCache>
            </c:numRef>
          </c:val>
          <c:extLst>
            <c:ext xmlns:c16="http://schemas.microsoft.com/office/drawing/2014/chart" uri="{C3380CC4-5D6E-409C-BE32-E72D297353CC}">
              <c16:uniqueId val="{0000000E-4F2F-43CD-B7D7-1653F95D838A}"/>
            </c:ext>
          </c:extLst>
        </c:ser>
        <c:ser>
          <c:idx val="3"/>
          <c:order val="3"/>
          <c:tx>
            <c:strRef>
              <c:f>'5-Resueltos-Revisiónxrecurrente'!$A$5</c:f>
              <c:strCache>
                <c:ptCount val="1"/>
                <c:pt idx="0">
                  <c:v>Def. pub.</c:v>
                </c:pt>
              </c:strCache>
            </c:strRef>
          </c:tx>
          <c:spPr>
            <a:solidFill>
              <a:schemeClr val="accent4"/>
            </a:solidFill>
            <a:ln>
              <a:noFill/>
            </a:ln>
            <a:effectLst/>
            <a:sp3d/>
          </c:spPr>
          <c:invertIfNegative val="0"/>
          <c:dLbls>
            <c:dLbl>
              <c:idx val="0"/>
              <c:layout>
                <c:manualLayout>
                  <c:x val="9.3313906103942336E-3"/>
                  <c:y val="-1.5939669340397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F2F-43CD-B7D7-1653F95D838A}"/>
                </c:ext>
              </c:extLst>
            </c:dLbl>
            <c:dLbl>
              <c:idx val="1"/>
              <c:layout>
                <c:manualLayout>
                  <c:x val="1.3280628344271917E-2"/>
                  <c:y val="-2.4215152636121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F2F-43CD-B7D7-1653F95D838A}"/>
                </c:ext>
              </c:extLst>
            </c:dLbl>
            <c:dLbl>
              <c:idx val="2"/>
              <c:layout>
                <c:manualLayout>
                  <c:x val="9.998369975616166E-3"/>
                  <c:y val="-7.65401550273519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F2F-43CD-B7D7-1653F95D838A}"/>
                </c:ext>
              </c:extLst>
            </c:dLbl>
            <c:dLbl>
              <c:idx val="3"/>
              <c:layout>
                <c:manualLayout>
                  <c:x val="5.4517662478500428E-3"/>
                  <c:y val="-4.07621360414060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F2F-43CD-B7D7-1653F95D838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'5-Resueltos-Revisiónxrecurrente'!$B$1:$E$1</c:f>
              <c:strCache>
                <c:ptCount val="4"/>
                <c:pt idx="0">
                  <c:v>Con lugar  35</c:v>
                </c:pt>
                <c:pt idx="1">
                  <c:v>Sin lugar  57</c:v>
                </c:pt>
                <c:pt idx="2">
                  <c:v>Inadmisibles  363</c:v>
                </c:pt>
                <c:pt idx="3">
                  <c:v>Otro tipo res.  14</c:v>
                </c:pt>
              </c:strCache>
            </c:strRef>
          </c:cat>
          <c:val>
            <c:numRef>
              <c:f>'5-Resueltos-Revisiónxrecurrente'!$B$5:$E$5</c:f>
              <c:numCache>
                <c:formatCode>General</c:formatCode>
                <c:ptCount val="4"/>
                <c:pt idx="0">
                  <c:v>12</c:v>
                </c:pt>
                <c:pt idx="1">
                  <c:v>13</c:v>
                </c:pt>
                <c:pt idx="2">
                  <c:v>11</c:v>
                </c:pt>
                <c:pt idx="3">
                  <c:v>3</c:v>
                </c:pt>
              </c:numCache>
            </c:numRef>
          </c:val>
          <c:extLst>
            <c:ext xmlns:c16="http://schemas.microsoft.com/office/drawing/2014/chart" uri="{C3380CC4-5D6E-409C-BE32-E72D297353CC}">
              <c16:uniqueId val="{00000013-4F2F-43CD-B7D7-1653F95D838A}"/>
            </c:ext>
          </c:extLst>
        </c:ser>
        <c:ser>
          <c:idx val="4"/>
          <c:order val="4"/>
          <c:tx>
            <c:strRef>
              <c:f>'5-Resueltos-Revisiónxrecurrente'!$A$6</c:f>
              <c:strCache>
                <c:ptCount val="1"/>
                <c:pt idx="0">
                  <c:v>M.P.</c:v>
                </c:pt>
              </c:strCache>
            </c:strRef>
          </c:tx>
          <c:spPr>
            <a:solidFill>
              <a:schemeClr val="accent5"/>
            </a:solidFill>
            <a:ln>
              <a:noFill/>
            </a:ln>
            <a:effectLst/>
            <a:sp3d/>
          </c:spPr>
          <c:invertIfNegative val="0"/>
          <c:dLbls>
            <c:dLbl>
              <c:idx val="0"/>
              <c:layout>
                <c:manualLayout>
                  <c:x val="1.0652461892984421E-2"/>
                  <c:y val="-2.6845637583892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F2F-43CD-B7D7-1653F95D838A}"/>
                </c:ext>
              </c:extLst>
            </c:dLbl>
            <c:dLbl>
              <c:idx val="1"/>
              <c:layout>
                <c:manualLayout>
                  <c:x val="1.2427872208481823E-2"/>
                  <c:y val="-2.237136465324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F2F-43CD-B7D7-1653F95D838A}"/>
                </c:ext>
              </c:extLst>
            </c:dLbl>
            <c:dLbl>
              <c:idx val="2"/>
              <c:layout>
                <c:manualLayout>
                  <c:x val="1.0652461892984421E-2"/>
                  <c:y val="-1.5659955257270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F2F-43CD-B7D7-1653F95D838A}"/>
                </c:ext>
              </c:extLst>
            </c:dLbl>
            <c:dLbl>
              <c:idx val="3"/>
              <c:layout>
                <c:manualLayout>
                  <c:x val="1.0652542006393532E-2"/>
                  <c:y val="-3.9777884072902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F2F-43CD-B7D7-1653F95D838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'5-Resueltos-Revisiónxrecurrente'!$B$1:$E$1</c:f>
              <c:strCache>
                <c:ptCount val="4"/>
                <c:pt idx="0">
                  <c:v>Con lugar  35</c:v>
                </c:pt>
                <c:pt idx="1">
                  <c:v>Sin lugar  57</c:v>
                </c:pt>
                <c:pt idx="2">
                  <c:v>Inadmisibles  363</c:v>
                </c:pt>
                <c:pt idx="3">
                  <c:v>Otro tipo res.  14</c:v>
                </c:pt>
              </c:strCache>
            </c:strRef>
          </c:cat>
          <c:val>
            <c:numRef>
              <c:f>'5-Resueltos-Revisiónxrecurrente'!$B$6:$E$6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18-4F2F-43CD-B7D7-1653F95D838A}"/>
            </c:ext>
          </c:extLst>
        </c:ser>
        <c:dLbls>
          <c:showLegendKey val="0"/>
          <c:showVal val="1"/>
          <c:showCatName val="0"/>
          <c:showSerName val="0"/>
          <c:showPercent val="0"/>
          <c:showBubbleSize val="0"/>
        </c:dLbls>
        <c:gapWidth val="150"/>
        <c:shape val="box"/>
        <c:axId val="118973568"/>
        <c:axId val="118975488"/>
        <c:axId val="0"/>
      </c:bar3DChart>
      <c:catAx>
        <c:axId val="118973568"/>
        <c:scaling>
          <c:orientation val="minMax"/>
        </c:scaling>
        <c:delete val="0"/>
        <c:axPos val="b"/>
        <c:title>
          <c:tx>
            <c:rich>
              <a:bodyPr rot="0" spcFirstLastPara="1" vertOverflow="ellipsis" vert="horz" wrap="square" anchor="ctr" anchorCtr="1"/>
              <a:lstStyle/>
              <a:p>
                <a:pPr>
                  <a:defRPr sz="1200" b="1" i="0" u="none" strike="noStrike" kern="1200" cap="all" baseline="0">
                    <a:solidFill>
                      <a:schemeClr val="tx1"/>
                    </a:solidFill>
                    <a:latin typeface="+mn-lt"/>
                    <a:ea typeface="+mn-ea"/>
                    <a:cs typeface="+mn-cs"/>
                  </a:defRPr>
                </a:pPr>
                <a:r>
                  <a:rPr lang="es-ES" sz="1200" b="1">
                    <a:solidFill>
                      <a:schemeClr val="tx1"/>
                    </a:solidFill>
                  </a:rPr>
                  <a:t>NOTA: Corresponde a la cantidad de procedimientos de revisión resueltos y NO a la cantidad de expedientes en revisión terminados.</a:t>
                </a:r>
              </a:p>
            </c:rich>
          </c:tx>
          <c:layout>
            <c:manualLayout>
              <c:xMode val="edge"/>
              <c:yMode val="edge"/>
              <c:x val="8.3974864358685217E-2"/>
              <c:y val="0.90058306856379799"/>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chemeClr val="tx1"/>
                  </a:solidFill>
                  <a:latin typeface="+mn-lt"/>
                  <a:ea typeface="+mn-ea"/>
                  <a:cs typeface="+mn-cs"/>
                </a:defRPr>
              </a:pPr>
              <a:endParaRPr lang="es-CR"/>
            </a:p>
          </c:txPr>
        </c:title>
        <c:numFmt formatCode="General" sourceLinked="1"/>
        <c:majorTickMark val="none"/>
        <c:minorTickMark val="none"/>
        <c:tickLblPos val="low"/>
        <c:spPr>
          <a:noFill/>
          <a:ln>
            <a:noFill/>
          </a:ln>
          <a:effectLst/>
        </c:spPr>
        <c:txPr>
          <a:bodyPr rot="0" spcFirstLastPara="1" vertOverflow="ellipsis" wrap="square" anchor="ctr" anchorCtr="1"/>
          <a:lstStyle/>
          <a:p>
            <a:pPr>
              <a:defRPr sz="1200" b="1" i="0" u="none" strike="noStrike" kern="1200" cap="none" spc="0" normalizeH="0" baseline="0">
                <a:solidFill>
                  <a:schemeClr val="tx1"/>
                </a:solidFill>
                <a:latin typeface="+mn-lt"/>
                <a:ea typeface="+mn-ea"/>
                <a:cs typeface="+mn-cs"/>
              </a:defRPr>
            </a:pPr>
            <a:endParaRPr lang="es-CR"/>
          </a:p>
        </c:txPr>
        <c:crossAx val="118975488"/>
        <c:crosses val="autoZero"/>
        <c:auto val="1"/>
        <c:lblAlgn val="ctr"/>
        <c:lblOffset val="100"/>
        <c:tickLblSkip val="1"/>
        <c:tickMarkSkip val="1"/>
        <c:noMultiLvlLbl val="0"/>
      </c:catAx>
      <c:valAx>
        <c:axId val="1189754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8973568"/>
        <c:crosses val="autoZero"/>
        <c:crossBetween val="between"/>
      </c:valAx>
      <c:spPr>
        <a:noFill/>
        <a:ln>
          <a:noFill/>
        </a:ln>
        <a:effectLst/>
      </c:spPr>
    </c:plotArea>
    <c:legend>
      <c:legendPos val="r"/>
      <c:layout>
        <c:manualLayout>
          <c:xMode val="edge"/>
          <c:yMode val="edge"/>
          <c:x val="0.86480760722400196"/>
          <c:y val="0.26384076062602457"/>
          <c:w val="0.13519239277599807"/>
          <c:h val="0.4834176679664776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r>
              <a:rPr lang="es-ES" sz="1400" b="1">
                <a:solidFill>
                  <a:sysClr val="windowText" lastClr="000000"/>
                </a:solidFill>
              </a:rPr>
              <a:t>DURACIÓN PROMEDIO DE RESOLUCION </a:t>
            </a:r>
          </a:p>
          <a:p>
            <a:pPr>
              <a:defRPr b="1">
                <a:solidFill>
                  <a:sysClr val="windowText" lastClr="000000"/>
                </a:solidFill>
              </a:defRPr>
            </a:pPr>
            <a:r>
              <a:rPr lang="es-ES" sz="1400" b="1">
                <a:solidFill>
                  <a:sysClr val="windowText" lastClr="000000"/>
                </a:solidFill>
              </a:rPr>
              <a:t>DE LOS RECURSOS DE CASACIÓN Y PROCEDIMIENTOS DE REVISIÓN </a:t>
            </a:r>
          </a:p>
          <a:p>
            <a:pPr>
              <a:defRPr b="1">
                <a:solidFill>
                  <a:sysClr val="windowText" lastClr="000000"/>
                </a:solidFill>
              </a:defRPr>
            </a:pPr>
            <a:r>
              <a:rPr lang="es-ES" sz="1400" b="1">
                <a:solidFill>
                  <a:sysClr val="windowText" lastClr="000000"/>
                </a:solidFill>
              </a:rPr>
              <a:t>a  2020
 (En meses y semanas)</a:t>
            </a:r>
          </a:p>
        </c:rich>
      </c:tx>
      <c:layout>
        <c:manualLayout>
          <c:xMode val="edge"/>
          <c:yMode val="edge"/>
          <c:x val="0.18573332842114429"/>
          <c:y val="2.5915382100816599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endParaRPr lang="es-CR"/>
        </a:p>
      </c:txPr>
    </c:title>
    <c:autoTitleDeleted val="0"/>
    <c:plotArea>
      <c:layout>
        <c:manualLayout>
          <c:layoutTarget val="inner"/>
          <c:xMode val="edge"/>
          <c:yMode val="edge"/>
          <c:x val="7.2246187750563504E-2"/>
          <c:y val="0.20437548034396252"/>
          <c:w val="0.92775381224943654"/>
          <c:h val="0.65436134191789552"/>
        </c:manualLayout>
      </c:layout>
      <c:lineChart>
        <c:grouping val="standard"/>
        <c:varyColors val="0"/>
        <c:ser>
          <c:idx val="0"/>
          <c:order val="0"/>
          <c:tx>
            <c:strRef>
              <c:f>'6-GRAFICO-DURACION'!$B$1</c:f>
              <c:strCache>
                <c:ptCount val="1"/>
                <c:pt idx="0">
                  <c:v>Casación</c:v>
                </c:pt>
              </c:strCache>
            </c:strRef>
          </c:tx>
          <c:spPr>
            <a:ln w="22225" cap="rnd" cmpd="sng" algn="ctr">
              <a:solidFill>
                <a:schemeClr val="accent1"/>
              </a:solidFill>
              <a:round/>
            </a:ln>
            <a:effectLst/>
          </c:spPr>
          <c:marker>
            <c:symbol val="none"/>
          </c:marker>
          <c:dLbls>
            <c:dLbl>
              <c:idx val="0"/>
              <c:layout>
                <c:manualLayout>
                  <c:x val="-3.8669756880134756E-2"/>
                  <c:y val="-2.3020257826887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C0-4A2F-A4E8-2976251E347A}"/>
                </c:ext>
              </c:extLst>
            </c:dLbl>
            <c:dLbl>
              <c:idx val="1"/>
              <c:layout>
                <c:manualLayout>
                  <c:x val="-3.6543002307612482E-2"/>
                  <c:y val="-1.84162062615102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C0-4A2F-A4E8-2976251E347A}"/>
                </c:ext>
              </c:extLst>
            </c:dLbl>
            <c:dLbl>
              <c:idx val="2"/>
              <c:layout>
                <c:manualLayout>
                  <c:x val="-3.6543002307612441E-2"/>
                  <c:y val="-2.9926335174953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C0-4A2F-A4E8-2976251E347A}"/>
                </c:ext>
              </c:extLst>
            </c:dLbl>
            <c:dLbl>
              <c:idx val="3"/>
              <c:layout>
                <c:manualLayout>
                  <c:x val="-3.4416247735090187E-2"/>
                  <c:y val="-2.7624309392265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C0-4A2F-A4E8-2976251E347A}"/>
                </c:ext>
              </c:extLst>
            </c:dLbl>
            <c:dLbl>
              <c:idx val="4"/>
              <c:layout>
                <c:manualLayout>
                  <c:x val="-2.4542747766907697E-2"/>
                  <c:y val="-2.7624309392265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C0-4A2F-A4E8-2976251E347A}"/>
                </c:ext>
              </c:extLst>
            </c:dLbl>
            <c:dLbl>
              <c:idx val="5"/>
              <c:layout>
                <c:manualLayout>
                  <c:x val="-2.4542747766907697E-2"/>
                  <c:y val="-2.07182320441989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C0-4A2F-A4E8-2976251E347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'6-GRAFICO-DURACION'!$A$16:$A$21</c:f>
              <c:numCache>
                <c:formatCode>General</c:formatCode>
                <c:ptCount val="6"/>
                <c:pt idx="0">
                  <c:v>2015</c:v>
                </c:pt>
                <c:pt idx="1">
                  <c:v>2016</c:v>
                </c:pt>
                <c:pt idx="2">
                  <c:v>2017</c:v>
                </c:pt>
                <c:pt idx="3">
                  <c:v>2018</c:v>
                </c:pt>
                <c:pt idx="4">
                  <c:v>2019</c:v>
                </c:pt>
                <c:pt idx="5">
                  <c:v>2020</c:v>
                </c:pt>
              </c:numCache>
            </c:numRef>
          </c:cat>
          <c:val>
            <c:numRef>
              <c:f>'6-GRAFICO-DURACION'!$B$16:$B$21</c:f>
              <c:numCache>
                <c:formatCode>General</c:formatCode>
                <c:ptCount val="6"/>
                <c:pt idx="0">
                  <c:v>2.2000000000000002</c:v>
                </c:pt>
                <c:pt idx="1">
                  <c:v>2.2000000000000002</c:v>
                </c:pt>
                <c:pt idx="2">
                  <c:v>2.2999999999999998</c:v>
                </c:pt>
                <c:pt idx="3">
                  <c:v>7.1</c:v>
                </c:pt>
                <c:pt idx="4">
                  <c:v>5</c:v>
                </c:pt>
                <c:pt idx="5">
                  <c:v>4</c:v>
                </c:pt>
              </c:numCache>
            </c:numRef>
          </c:val>
          <c:smooth val="0"/>
          <c:extLst>
            <c:ext xmlns:c16="http://schemas.microsoft.com/office/drawing/2014/chart" uri="{C3380CC4-5D6E-409C-BE32-E72D297353CC}">
              <c16:uniqueId val="{00000012-04C0-4A2F-A4E8-2976251E347A}"/>
            </c:ext>
          </c:extLst>
        </c:ser>
        <c:ser>
          <c:idx val="1"/>
          <c:order val="1"/>
          <c:tx>
            <c:strRef>
              <c:f>'6-GRAFICO-DURACION'!$C$1</c:f>
              <c:strCache>
                <c:ptCount val="1"/>
                <c:pt idx="0">
                  <c:v>Revisión</c:v>
                </c:pt>
              </c:strCache>
            </c:strRef>
          </c:tx>
          <c:spPr>
            <a:ln w="22225" cap="rnd" cmpd="sng" algn="ctr">
              <a:solidFill>
                <a:schemeClr val="accent2"/>
              </a:solidFill>
              <a:round/>
            </a:ln>
            <a:effectLst/>
          </c:spPr>
          <c:marker>
            <c:symbol val="none"/>
          </c:marker>
          <c:dLbls>
            <c:dLbl>
              <c:idx val="0"/>
              <c:layout>
                <c:manualLayout>
                  <c:x val="-4.2923266025179416E-2"/>
                  <c:y val="-2.53222836095764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4C0-4A2F-A4E8-2976251E347A}"/>
                </c:ext>
              </c:extLst>
            </c:dLbl>
            <c:dLbl>
              <c:idx val="1"/>
              <c:layout>
                <c:manualLayout>
                  <c:x val="-2.666950233943003E-2"/>
                  <c:y val="-2.3020257826887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4C0-4A2F-A4E8-2976251E347A}"/>
                </c:ext>
              </c:extLst>
            </c:dLbl>
            <c:dLbl>
              <c:idx val="2"/>
              <c:layout>
                <c:manualLayout>
                  <c:x val="-4.9303529742746426E-2"/>
                  <c:y val="-2.07182320441989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4C0-4A2F-A4E8-2976251E347A}"/>
                </c:ext>
              </c:extLst>
            </c:dLbl>
            <c:dLbl>
              <c:idx val="3"/>
              <c:layout>
                <c:manualLayout>
                  <c:x val="-3.1008081667375662E-2"/>
                  <c:y val="-1.84162062615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4C0-4A2F-A4E8-2976251E347A}"/>
                </c:ext>
              </c:extLst>
            </c:dLbl>
            <c:dLbl>
              <c:idx val="4"/>
              <c:layout>
                <c:manualLayout>
                  <c:x val="-1.3908974904296044E-2"/>
                  <c:y val="-2.9926335174953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4C0-4A2F-A4E8-2976251E347A}"/>
                </c:ext>
              </c:extLst>
            </c:dLbl>
            <c:dLbl>
              <c:idx val="5"/>
              <c:layout>
                <c:manualLayout>
                  <c:x val="-3.4416247735090111E-2"/>
                  <c:y val="-2.3020257826887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4C0-4A2F-A4E8-2976251E347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'6-GRAFICO-DURACION'!$A$16:$A$21</c:f>
              <c:numCache>
                <c:formatCode>General</c:formatCode>
                <c:ptCount val="6"/>
                <c:pt idx="0">
                  <c:v>2015</c:v>
                </c:pt>
                <c:pt idx="1">
                  <c:v>2016</c:v>
                </c:pt>
                <c:pt idx="2">
                  <c:v>2017</c:v>
                </c:pt>
                <c:pt idx="3">
                  <c:v>2018</c:v>
                </c:pt>
                <c:pt idx="4">
                  <c:v>2019</c:v>
                </c:pt>
                <c:pt idx="5">
                  <c:v>2020</c:v>
                </c:pt>
              </c:numCache>
            </c:numRef>
          </c:cat>
          <c:val>
            <c:numRef>
              <c:f>'6-GRAFICO-DURACION'!$C$16:$C$21</c:f>
              <c:numCache>
                <c:formatCode>General</c:formatCode>
                <c:ptCount val="6"/>
                <c:pt idx="0">
                  <c:v>5.2</c:v>
                </c:pt>
                <c:pt idx="1">
                  <c:v>4</c:v>
                </c:pt>
                <c:pt idx="2">
                  <c:v>4.3</c:v>
                </c:pt>
                <c:pt idx="3">
                  <c:v>13</c:v>
                </c:pt>
                <c:pt idx="4">
                  <c:v>7</c:v>
                </c:pt>
                <c:pt idx="5">
                  <c:v>6.1</c:v>
                </c:pt>
              </c:numCache>
            </c:numRef>
          </c:val>
          <c:smooth val="0"/>
          <c:extLst>
            <c:ext xmlns:c16="http://schemas.microsoft.com/office/drawing/2014/chart" uri="{C3380CC4-5D6E-409C-BE32-E72D297353CC}">
              <c16:uniqueId val="{00000025-04C0-4A2F-A4E8-2976251E347A}"/>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19538816"/>
        <c:axId val="119540736"/>
      </c:lineChart>
      <c:catAx>
        <c:axId val="119538816"/>
        <c:scaling>
          <c:orientation val="minMax"/>
        </c:scaling>
        <c:delete val="0"/>
        <c:axPos val="b"/>
        <c:title>
          <c:tx>
            <c:rich>
              <a:bodyPr rot="0" spcFirstLastPara="1" vertOverflow="ellipsis" vert="horz" wrap="square" anchor="ctr" anchorCtr="1"/>
              <a:lstStyle/>
              <a:p>
                <a:pPr>
                  <a:defRPr sz="1200" b="1" i="0" u="none" strike="noStrike" kern="1200" cap="all" baseline="0">
                    <a:solidFill>
                      <a:sysClr val="windowText" lastClr="000000"/>
                    </a:solidFill>
                    <a:latin typeface="+mn-lt"/>
                    <a:ea typeface="+mn-ea"/>
                    <a:cs typeface="+mn-cs"/>
                  </a:defRPr>
                </a:pPr>
                <a:r>
                  <a:rPr lang="es-ES" sz="1200" b="1">
                    <a:solidFill>
                      <a:sysClr val="windowText" lastClr="000000"/>
                    </a:solidFill>
                  </a:rPr>
                  <a:t>AÑOS</a:t>
                </a:r>
              </a:p>
            </c:rich>
          </c:tx>
          <c:layout>
            <c:manualLayout>
              <c:xMode val="edge"/>
              <c:yMode val="edge"/>
              <c:x val="0.459229445000787"/>
              <c:y val="0.94535317063267643"/>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ysClr val="windowText" lastClr="000000"/>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2700000" spcFirstLastPara="1" vertOverflow="ellipsis" wrap="square" anchor="ctr" anchorCtr="1"/>
          <a:lstStyle/>
          <a:p>
            <a:pPr>
              <a:defRPr sz="1200" b="1" i="0" u="none" strike="noStrike" kern="1200" spc="20" baseline="0">
                <a:solidFill>
                  <a:sysClr val="windowText" lastClr="000000"/>
                </a:solidFill>
                <a:latin typeface="+mn-lt"/>
                <a:ea typeface="+mn-ea"/>
                <a:cs typeface="+mn-cs"/>
              </a:defRPr>
            </a:pPr>
            <a:endParaRPr lang="es-CR"/>
          </a:p>
        </c:txPr>
        <c:crossAx val="119540736"/>
        <c:crosses val="autoZero"/>
        <c:auto val="1"/>
        <c:lblAlgn val="ctr"/>
        <c:lblOffset val="100"/>
        <c:tickLblSkip val="1"/>
        <c:tickMarkSkip val="1"/>
        <c:noMultiLvlLbl val="0"/>
      </c:catAx>
      <c:valAx>
        <c:axId val="119540736"/>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1"/>
          <a:lstStyle/>
          <a:p>
            <a:pPr>
              <a:defRPr sz="1200" b="1" i="0" u="none" strike="noStrike" kern="1200" spc="20" baseline="0">
                <a:solidFill>
                  <a:sysClr val="windowText" lastClr="000000"/>
                </a:solidFill>
                <a:latin typeface="+mn-lt"/>
                <a:ea typeface="+mn-ea"/>
                <a:cs typeface="+mn-cs"/>
              </a:defRPr>
            </a:pPr>
            <a:endParaRPr lang="es-CR"/>
          </a:p>
        </c:txPr>
        <c:crossAx val="119538816"/>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82287299423599269"/>
          <c:y val="0.17625433215875641"/>
          <c:w val="0.17287349661896262"/>
          <c:h val="0.2135134351300010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lumMod val="95000"/>
      </a:schemeClr>
    </a:solidFill>
    <a:ln w="9525" cap="flat" cmpd="sng" algn="ctr">
      <a:solidFill>
        <a:schemeClr val="dk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rawings/drawing1.xml><?xml version="1.0" encoding="utf-8"?>
<c:userShapes xmlns:c="http://schemas.openxmlformats.org/drawingml/2006/chart">
  <cdr:relSizeAnchor xmlns:cdr="http://schemas.openxmlformats.org/drawingml/2006/chartDrawing">
    <cdr:from>
      <cdr:x>0.50443</cdr:x>
      <cdr:y>0.48754</cdr:y>
    </cdr:from>
    <cdr:to>
      <cdr:x>0.51802</cdr:x>
      <cdr:y>0.57022</cdr:y>
    </cdr:to>
    <cdr:sp macro="" textlink="">
      <cdr:nvSpPr>
        <cdr:cNvPr id="51201" name="Text Box 1"/>
        <cdr:cNvSpPr txBox="1">
          <a:spLocks xmlns:a="http://schemas.openxmlformats.org/drawingml/2006/main" noChangeArrowheads="1"/>
        </cdr:cNvSpPr>
      </cdr:nvSpPr>
      <cdr:spPr bwMode="auto">
        <a:xfrm xmlns:a="http://schemas.openxmlformats.org/drawingml/2006/main">
          <a:off x="4476016" y="2931469"/>
          <a:ext cx="123535" cy="456914"/>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64008" tIns="50292" rIns="64008" bIns="50292" anchor="ctr" upright="1"/>
        <a:lstStyle xmlns:a="http://schemas.openxmlformats.org/drawingml/2006/main"/>
        <a:p xmlns:a="http://schemas.openxmlformats.org/drawingml/2006/main">
          <a:pPr algn="ctr" rtl="0">
            <a:defRPr sz="1000"/>
          </a:pPr>
          <a:r>
            <a:rPr lang="es-ES" sz="2500" b="0" i="0" u="none" strike="noStrike" baseline="0">
              <a:solidFill>
                <a:srgbClr val="000000"/>
              </a:solidFill>
              <a:latin typeface="Arial"/>
              <a:cs typeface="Arial"/>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0.14531</cdr:x>
      <cdr:y>0.40329</cdr:y>
    </cdr:from>
    <cdr:to>
      <cdr:x>0.20535</cdr:x>
      <cdr:y>0.54441</cdr:y>
    </cdr:to>
    <cdr:sp macro="" textlink="">
      <cdr:nvSpPr>
        <cdr:cNvPr id="48129" name="Line 1"/>
        <cdr:cNvSpPr>
          <a:spLocks xmlns:a="http://schemas.openxmlformats.org/drawingml/2006/main" noChangeShapeType="1"/>
        </cdr:cNvSpPr>
      </cdr:nvSpPr>
      <cdr:spPr bwMode="auto">
        <a:xfrm xmlns:a="http://schemas.openxmlformats.org/drawingml/2006/main">
          <a:off x="802769" y="2181871"/>
          <a:ext cx="331691" cy="763488"/>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a:ln>
      </cdr:spPr>
      <cdr:txBody>
        <a:bodyPr xmlns:a="http://schemas.openxmlformats.org/drawingml/2006/main"/>
        <a:lstStyle xmlns:a="http://schemas.openxmlformats.org/drawingml/2006/main"/>
        <a:p xmlns:a="http://schemas.openxmlformats.org/drawingml/2006/main">
          <a:endParaRPr lang="es-C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64EDF-FF52-4B03-8CF8-DA3FBDDE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56935</Words>
  <Characters>313147</Characters>
  <Application>Microsoft Office Word</Application>
  <DocSecurity>4</DocSecurity>
  <Lines>2609</Lines>
  <Paragraphs>738</Paragraphs>
  <ScaleCrop>false</ScaleCrop>
  <HeadingPairs>
    <vt:vector size="4" baseType="variant">
      <vt:variant>
        <vt:lpstr>Título</vt:lpstr>
      </vt:variant>
      <vt:variant>
        <vt:i4>1</vt:i4>
      </vt:variant>
      <vt:variant>
        <vt:lpstr>Títulos</vt:lpstr>
      </vt:variant>
      <vt:variant>
        <vt:i4>22</vt:i4>
      </vt:variant>
    </vt:vector>
  </HeadingPairs>
  <TitlesOfParts>
    <vt:vector size="23" baseType="lpstr">
      <vt:lpstr>Corte Suprema de Justicia</vt:lpstr>
      <vt:lpstr>PRESENTACIÓN:</vt:lpstr>
      <vt:lpstr>Balance General Estadístico Anual de 2020.</vt:lpstr>
      <vt:lpstr>    Datos estadísticos generales en materia Penal de Adultos.</vt:lpstr>
      <vt:lpstr>    Asuntos entrados y reentrados por recurrente. </vt:lpstr>
      <vt:lpstr>        Total de recurrentes en los asuntos entrados y reentrados en el 2020 (por tipo d</vt:lpstr>
      <vt:lpstr>        Total de recurrentes intervinientes en los recursos de casación.</vt:lpstr>
      <vt:lpstr>        Total de recurrentes intervinientes en los asuntos entrados por procedimientos d</vt:lpstr>
      <vt:lpstr>    Asuntos resueltos.</vt:lpstr>
      <vt:lpstr>        Total asuntos resueltos por tipo de resolución.</vt:lpstr>
      <vt:lpstr>    Recursos de casación. </vt:lpstr>
      <vt:lpstr>    Procedimientos de revisión.</vt:lpstr>
      <vt:lpstr>    Duración promedio de las resoluciones en general emitidas por la Sala de Casació</vt:lpstr>
      <vt:lpstr>Datos Estadísticas Generales en Materia Penal Juvenil:</vt:lpstr>
      <vt:lpstr>    Balance General:</vt:lpstr>
      <vt:lpstr>    Asuntos Ingresados:</vt:lpstr>
      <vt:lpstr>    Asuntos resueltos:</vt:lpstr>
      <vt:lpstr>ACTIVIDADES DE CAPACITACION:</vt:lpstr>
      <vt:lpstr>RECURSOS DE HÁBEAS CORPUS:</vt:lpstr>
      <vt:lpstr>    Ciberseguridad </vt:lpstr>
      <vt:lpstr>    Convocatorias a reunión y participación en reuniones</vt:lpstr>
      <vt:lpstr>    Redacción de oficios</vt:lpstr>
      <vt:lpstr>    Coordinación y ejecución de actividades</vt:lpstr>
    </vt:vector>
  </TitlesOfParts>
  <Company/>
  <LinksUpToDate>false</LinksUpToDate>
  <CharactersWithSpaces>369344</CharactersWithSpaces>
  <SharedDoc>false</SharedDoc>
  <HLinks>
    <vt:vector size="324" baseType="variant">
      <vt:variant>
        <vt:i4>1310783</vt:i4>
      </vt:variant>
      <vt:variant>
        <vt:i4>266</vt:i4>
      </vt:variant>
      <vt:variant>
        <vt:i4>0</vt:i4>
      </vt:variant>
      <vt:variant>
        <vt:i4>5</vt:i4>
      </vt:variant>
      <vt:variant>
        <vt:lpwstr/>
      </vt:variant>
      <vt:variant>
        <vt:lpwstr>_Toc510690340</vt:lpwstr>
      </vt:variant>
      <vt:variant>
        <vt:i4>1245247</vt:i4>
      </vt:variant>
      <vt:variant>
        <vt:i4>260</vt:i4>
      </vt:variant>
      <vt:variant>
        <vt:i4>0</vt:i4>
      </vt:variant>
      <vt:variant>
        <vt:i4>5</vt:i4>
      </vt:variant>
      <vt:variant>
        <vt:lpwstr/>
      </vt:variant>
      <vt:variant>
        <vt:lpwstr>_Toc510690339</vt:lpwstr>
      </vt:variant>
      <vt:variant>
        <vt:i4>1245247</vt:i4>
      </vt:variant>
      <vt:variant>
        <vt:i4>254</vt:i4>
      </vt:variant>
      <vt:variant>
        <vt:i4>0</vt:i4>
      </vt:variant>
      <vt:variant>
        <vt:i4>5</vt:i4>
      </vt:variant>
      <vt:variant>
        <vt:lpwstr/>
      </vt:variant>
      <vt:variant>
        <vt:lpwstr>_Toc510690338</vt:lpwstr>
      </vt:variant>
      <vt:variant>
        <vt:i4>1245247</vt:i4>
      </vt:variant>
      <vt:variant>
        <vt:i4>248</vt:i4>
      </vt:variant>
      <vt:variant>
        <vt:i4>0</vt:i4>
      </vt:variant>
      <vt:variant>
        <vt:i4>5</vt:i4>
      </vt:variant>
      <vt:variant>
        <vt:lpwstr/>
      </vt:variant>
      <vt:variant>
        <vt:lpwstr>_Toc510690337</vt:lpwstr>
      </vt:variant>
      <vt:variant>
        <vt:i4>1245247</vt:i4>
      </vt:variant>
      <vt:variant>
        <vt:i4>242</vt:i4>
      </vt:variant>
      <vt:variant>
        <vt:i4>0</vt:i4>
      </vt:variant>
      <vt:variant>
        <vt:i4>5</vt:i4>
      </vt:variant>
      <vt:variant>
        <vt:lpwstr/>
      </vt:variant>
      <vt:variant>
        <vt:lpwstr>_Toc510690336</vt:lpwstr>
      </vt:variant>
      <vt:variant>
        <vt:i4>1245247</vt:i4>
      </vt:variant>
      <vt:variant>
        <vt:i4>236</vt:i4>
      </vt:variant>
      <vt:variant>
        <vt:i4>0</vt:i4>
      </vt:variant>
      <vt:variant>
        <vt:i4>5</vt:i4>
      </vt:variant>
      <vt:variant>
        <vt:lpwstr/>
      </vt:variant>
      <vt:variant>
        <vt:lpwstr>_Toc510690335</vt:lpwstr>
      </vt:variant>
      <vt:variant>
        <vt:i4>1245247</vt:i4>
      </vt:variant>
      <vt:variant>
        <vt:i4>230</vt:i4>
      </vt:variant>
      <vt:variant>
        <vt:i4>0</vt:i4>
      </vt:variant>
      <vt:variant>
        <vt:i4>5</vt:i4>
      </vt:variant>
      <vt:variant>
        <vt:lpwstr/>
      </vt:variant>
      <vt:variant>
        <vt:lpwstr>_Toc510690334</vt:lpwstr>
      </vt:variant>
      <vt:variant>
        <vt:i4>1245247</vt:i4>
      </vt:variant>
      <vt:variant>
        <vt:i4>224</vt:i4>
      </vt:variant>
      <vt:variant>
        <vt:i4>0</vt:i4>
      </vt:variant>
      <vt:variant>
        <vt:i4>5</vt:i4>
      </vt:variant>
      <vt:variant>
        <vt:lpwstr/>
      </vt:variant>
      <vt:variant>
        <vt:lpwstr>_Toc510690333</vt:lpwstr>
      </vt:variant>
      <vt:variant>
        <vt:i4>1245247</vt:i4>
      </vt:variant>
      <vt:variant>
        <vt:i4>218</vt:i4>
      </vt:variant>
      <vt:variant>
        <vt:i4>0</vt:i4>
      </vt:variant>
      <vt:variant>
        <vt:i4>5</vt:i4>
      </vt:variant>
      <vt:variant>
        <vt:lpwstr/>
      </vt:variant>
      <vt:variant>
        <vt:lpwstr>_Toc510690332</vt:lpwstr>
      </vt:variant>
      <vt:variant>
        <vt:i4>1245247</vt:i4>
      </vt:variant>
      <vt:variant>
        <vt:i4>212</vt:i4>
      </vt:variant>
      <vt:variant>
        <vt:i4>0</vt:i4>
      </vt:variant>
      <vt:variant>
        <vt:i4>5</vt:i4>
      </vt:variant>
      <vt:variant>
        <vt:lpwstr/>
      </vt:variant>
      <vt:variant>
        <vt:lpwstr>_Toc510690331</vt:lpwstr>
      </vt:variant>
      <vt:variant>
        <vt:i4>1245247</vt:i4>
      </vt:variant>
      <vt:variant>
        <vt:i4>206</vt:i4>
      </vt:variant>
      <vt:variant>
        <vt:i4>0</vt:i4>
      </vt:variant>
      <vt:variant>
        <vt:i4>5</vt:i4>
      </vt:variant>
      <vt:variant>
        <vt:lpwstr/>
      </vt:variant>
      <vt:variant>
        <vt:lpwstr>_Toc510690330</vt:lpwstr>
      </vt:variant>
      <vt:variant>
        <vt:i4>1179711</vt:i4>
      </vt:variant>
      <vt:variant>
        <vt:i4>200</vt:i4>
      </vt:variant>
      <vt:variant>
        <vt:i4>0</vt:i4>
      </vt:variant>
      <vt:variant>
        <vt:i4>5</vt:i4>
      </vt:variant>
      <vt:variant>
        <vt:lpwstr/>
      </vt:variant>
      <vt:variant>
        <vt:lpwstr>_Toc510690329</vt:lpwstr>
      </vt:variant>
      <vt:variant>
        <vt:i4>1179711</vt:i4>
      </vt:variant>
      <vt:variant>
        <vt:i4>194</vt:i4>
      </vt:variant>
      <vt:variant>
        <vt:i4>0</vt:i4>
      </vt:variant>
      <vt:variant>
        <vt:i4>5</vt:i4>
      </vt:variant>
      <vt:variant>
        <vt:lpwstr/>
      </vt:variant>
      <vt:variant>
        <vt:lpwstr>_Toc510690328</vt:lpwstr>
      </vt:variant>
      <vt:variant>
        <vt:i4>1179711</vt:i4>
      </vt:variant>
      <vt:variant>
        <vt:i4>188</vt:i4>
      </vt:variant>
      <vt:variant>
        <vt:i4>0</vt:i4>
      </vt:variant>
      <vt:variant>
        <vt:i4>5</vt:i4>
      </vt:variant>
      <vt:variant>
        <vt:lpwstr/>
      </vt:variant>
      <vt:variant>
        <vt:lpwstr>_Toc510690327</vt:lpwstr>
      </vt:variant>
      <vt:variant>
        <vt:i4>1179711</vt:i4>
      </vt:variant>
      <vt:variant>
        <vt:i4>182</vt:i4>
      </vt:variant>
      <vt:variant>
        <vt:i4>0</vt:i4>
      </vt:variant>
      <vt:variant>
        <vt:i4>5</vt:i4>
      </vt:variant>
      <vt:variant>
        <vt:lpwstr/>
      </vt:variant>
      <vt:variant>
        <vt:lpwstr>_Toc510690326</vt:lpwstr>
      </vt:variant>
      <vt:variant>
        <vt:i4>1179711</vt:i4>
      </vt:variant>
      <vt:variant>
        <vt:i4>176</vt:i4>
      </vt:variant>
      <vt:variant>
        <vt:i4>0</vt:i4>
      </vt:variant>
      <vt:variant>
        <vt:i4>5</vt:i4>
      </vt:variant>
      <vt:variant>
        <vt:lpwstr/>
      </vt:variant>
      <vt:variant>
        <vt:lpwstr>_Toc510690325</vt:lpwstr>
      </vt:variant>
      <vt:variant>
        <vt:i4>1179711</vt:i4>
      </vt:variant>
      <vt:variant>
        <vt:i4>170</vt:i4>
      </vt:variant>
      <vt:variant>
        <vt:i4>0</vt:i4>
      </vt:variant>
      <vt:variant>
        <vt:i4>5</vt:i4>
      </vt:variant>
      <vt:variant>
        <vt:lpwstr/>
      </vt:variant>
      <vt:variant>
        <vt:lpwstr>_Toc510690324</vt:lpwstr>
      </vt:variant>
      <vt:variant>
        <vt:i4>1179711</vt:i4>
      </vt:variant>
      <vt:variant>
        <vt:i4>164</vt:i4>
      </vt:variant>
      <vt:variant>
        <vt:i4>0</vt:i4>
      </vt:variant>
      <vt:variant>
        <vt:i4>5</vt:i4>
      </vt:variant>
      <vt:variant>
        <vt:lpwstr/>
      </vt:variant>
      <vt:variant>
        <vt:lpwstr>_Toc510690323</vt:lpwstr>
      </vt:variant>
      <vt:variant>
        <vt:i4>1179711</vt:i4>
      </vt:variant>
      <vt:variant>
        <vt:i4>158</vt:i4>
      </vt:variant>
      <vt:variant>
        <vt:i4>0</vt:i4>
      </vt:variant>
      <vt:variant>
        <vt:i4>5</vt:i4>
      </vt:variant>
      <vt:variant>
        <vt:lpwstr/>
      </vt:variant>
      <vt:variant>
        <vt:lpwstr>_Toc510690322</vt:lpwstr>
      </vt:variant>
      <vt:variant>
        <vt:i4>1179711</vt:i4>
      </vt:variant>
      <vt:variant>
        <vt:i4>152</vt:i4>
      </vt:variant>
      <vt:variant>
        <vt:i4>0</vt:i4>
      </vt:variant>
      <vt:variant>
        <vt:i4>5</vt:i4>
      </vt:variant>
      <vt:variant>
        <vt:lpwstr/>
      </vt:variant>
      <vt:variant>
        <vt:lpwstr>_Toc510690321</vt:lpwstr>
      </vt:variant>
      <vt:variant>
        <vt:i4>1179711</vt:i4>
      </vt:variant>
      <vt:variant>
        <vt:i4>146</vt:i4>
      </vt:variant>
      <vt:variant>
        <vt:i4>0</vt:i4>
      </vt:variant>
      <vt:variant>
        <vt:i4>5</vt:i4>
      </vt:variant>
      <vt:variant>
        <vt:lpwstr/>
      </vt:variant>
      <vt:variant>
        <vt:lpwstr>_Toc510690320</vt:lpwstr>
      </vt:variant>
      <vt:variant>
        <vt:i4>1114175</vt:i4>
      </vt:variant>
      <vt:variant>
        <vt:i4>140</vt:i4>
      </vt:variant>
      <vt:variant>
        <vt:i4>0</vt:i4>
      </vt:variant>
      <vt:variant>
        <vt:i4>5</vt:i4>
      </vt:variant>
      <vt:variant>
        <vt:lpwstr/>
      </vt:variant>
      <vt:variant>
        <vt:lpwstr>_Toc510690319</vt:lpwstr>
      </vt:variant>
      <vt:variant>
        <vt:i4>1114175</vt:i4>
      </vt:variant>
      <vt:variant>
        <vt:i4>134</vt:i4>
      </vt:variant>
      <vt:variant>
        <vt:i4>0</vt:i4>
      </vt:variant>
      <vt:variant>
        <vt:i4>5</vt:i4>
      </vt:variant>
      <vt:variant>
        <vt:lpwstr/>
      </vt:variant>
      <vt:variant>
        <vt:lpwstr>_Toc510690318</vt:lpwstr>
      </vt:variant>
      <vt:variant>
        <vt:i4>1114175</vt:i4>
      </vt:variant>
      <vt:variant>
        <vt:i4>128</vt:i4>
      </vt:variant>
      <vt:variant>
        <vt:i4>0</vt:i4>
      </vt:variant>
      <vt:variant>
        <vt:i4>5</vt:i4>
      </vt:variant>
      <vt:variant>
        <vt:lpwstr/>
      </vt:variant>
      <vt:variant>
        <vt:lpwstr>_Toc510690317</vt:lpwstr>
      </vt:variant>
      <vt:variant>
        <vt:i4>1114175</vt:i4>
      </vt:variant>
      <vt:variant>
        <vt:i4>122</vt:i4>
      </vt:variant>
      <vt:variant>
        <vt:i4>0</vt:i4>
      </vt:variant>
      <vt:variant>
        <vt:i4>5</vt:i4>
      </vt:variant>
      <vt:variant>
        <vt:lpwstr/>
      </vt:variant>
      <vt:variant>
        <vt:lpwstr>_Toc510690316</vt:lpwstr>
      </vt:variant>
      <vt:variant>
        <vt:i4>1114175</vt:i4>
      </vt:variant>
      <vt:variant>
        <vt:i4>116</vt:i4>
      </vt:variant>
      <vt:variant>
        <vt:i4>0</vt:i4>
      </vt:variant>
      <vt:variant>
        <vt:i4>5</vt:i4>
      </vt:variant>
      <vt:variant>
        <vt:lpwstr/>
      </vt:variant>
      <vt:variant>
        <vt:lpwstr>_Toc510690315</vt:lpwstr>
      </vt:variant>
      <vt:variant>
        <vt:i4>1114175</vt:i4>
      </vt:variant>
      <vt:variant>
        <vt:i4>110</vt:i4>
      </vt:variant>
      <vt:variant>
        <vt:i4>0</vt:i4>
      </vt:variant>
      <vt:variant>
        <vt:i4>5</vt:i4>
      </vt:variant>
      <vt:variant>
        <vt:lpwstr/>
      </vt:variant>
      <vt:variant>
        <vt:lpwstr>_Toc510690314</vt:lpwstr>
      </vt:variant>
      <vt:variant>
        <vt:i4>1114175</vt:i4>
      </vt:variant>
      <vt:variant>
        <vt:i4>104</vt:i4>
      </vt:variant>
      <vt:variant>
        <vt:i4>0</vt:i4>
      </vt:variant>
      <vt:variant>
        <vt:i4>5</vt:i4>
      </vt:variant>
      <vt:variant>
        <vt:lpwstr/>
      </vt:variant>
      <vt:variant>
        <vt:lpwstr>_Toc510690313</vt:lpwstr>
      </vt:variant>
      <vt:variant>
        <vt:i4>1114175</vt:i4>
      </vt:variant>
      <vt:variant>
        <vt:i4>98</vt:i4>
      </vt:variant>
      <vt:variant>
        <vt:i4>0</vt:i4>
      </vt:variant>
      <vt:variant>
        <vt:i4>5</vt:i4>
      </vt:variant>
      <vt:variant>
        <vt:lpwstr/>
      </vt:variant>
      <vt:variant>
        <vt:lpwstr>_Toc510690312</vt:lpwstr>
      </vt:variant>
      <vt:variant>
        <vt:i4>1114175</vt:i4>
      </vt:variant>
      <vt:variant>
        <vt:i4>92</vt:i4>
      </vt:variant>
      <vt:variant>
        <vt:i4>0</vt:i4>
      </vt:variant>
      <vt:variant>
        <vt:i4>5</vt:i4>
      </vt:variant>
      <vt:variant>
        <vt:lpwstr/>
      </vt:variant>
      <vt:variant>
        <vt:lpwstr>_Toc510690311</vt:lpwstr>
      </vt:variant>
      <vt:variant>
        <vt:i4>1114175</vt:i4>
      </vt:variant>
      <vt:variant>
        <vt:i4>86</vt:i4>
      </vt:variant>
      <vt:variant>
        <vt:i4>0</vt:i4>
      </vt:variant>
      <vt:variant>
        <vt:i4>5</vt:i4>
      </vt:variant>
      <vt:variant>
        <vt:lpwstr/>
      </vt:variant>
      <vt:variant>
        <vt:lpwstr>_Toc510690310</vt:lpwstr>
      </vt:variant>
      <vt:variant>
        <vt:i4>1048639</vt:i4>
      </vt:variant>
      <vt:variant>
        <vt:i4>80</vt:i4>
      </vt:variant>
      <vt:variant>
        <vt:i4>0</vt:i4>
      </vt:variant>
      <vt:variant>
        <vt:i4>5</vt:i4>
      </vt:variant>
      <vt:variant>
        <vt:lpwstr/>
      </vt:variant>
      <vt:variant>
        <vt:lpwstr>_Toc510690309</vt:lpwstr>
      </vt:variant>
      <vt:variant>
        <vt:i4>1048639</vt:i4>
      </vt:variant>
      <vt:variant>
        <vt:i4>74</vt:i4>
      </vt:variant>
      <vt:variant>
        <vt:i4>0</vt:i4>
      </vt:variant>
      <vt:variant>
        <vt:i4>5</vt:i4>
      </vt:variant>
      <vt:variant>
        <vt:lpwstr/>
      </vt:variant>
      <vt:variant>
        <vt:lpwstr>_Toc510690308</vt:lpwstr>
      </vt:variant>
      <vt:variant>
        <vt:i4>1048639</vt:i4>
      </vt:variant>
      <vt:variant>
        <vt:i4>68</vt:i4>
      </vt:variant>
      <vt:variant>
        <vt:i4>0</vt:i4>
      </vt:variant>
      <vt:variant>
        <vt:i4>5</vt:i4>
      </vt:variant>
      <vt:variant>
        <vt:lpwstr/>
      </vt:variant>
      <vt:variant>
        <vt:lpwstr>_Toc510690307</vt:lpwstr>
      </vt:variant>
      <vt:variant>
        <vt:i4>1048639</vt:i4>
      </vt:variant>
      <vt:variant>
        <vt:i4>62</vt:i4>
      </vt:variant>
      <vt:variant>
        <vt:i4>0</vt:i4>
      </vt:variant>
      <vt:variant>
        <vt:i4>5</vt:i4>
      </vt:variant>
      <vt:variant>
        <vt:lpwstr/>
      </vt:variant>
      <vt:variant>
        <vt:lpwstr>_Toc510690306</vt:lpwstr>
      </vt:variant>
      <vt:variant>
        <vt:i4>1048639</vt:i4>
      </vt:variant>
      <vt:variant>
        <vt:i4>56</vt:i4>
      </vt:variant>
      <vt:variant>
        <vt:i4>0</vt:i4>
      </vt:variant>
      <vt:variant>
        <vt:i4>5</vt:i4>
      </vt:variant>
      <vt:variant>
        <vt:lpwstr/>
      </vt:variant>
      <vt:variant>
        <vt:lpwstr>_Toc510690305</vt:lpwstr>
      </vt:variant>
      <vt:variant>
        <vt:i4>1048639</vt:i4>
      </vt:variant>
      <vt:variant>
        <vt:i4>50</vt:i4>
      </vt:variant>
      <vt:variant>
        <vt:i4>0</vt:i4>
      </vt:variant>
      <vt:variant>
        <vt:i4>5</vt:i4>
      </vt:variant>
      <vt:variant>
        <vt:lpwstr/>
      </vt:variant>
      <vt:variant>
        <vt:lpwstr>_Toc510690304</vt:lpwstr>
      </vt:variant>
      <vt:variant>
        <vt:i4>1048639</vt:i4>
      </vt:variant>
      <vt:variant>
        <vt:i4>44</vt:i4>
      </vt:variant>
      <vt:variant>
        <vt:i4>0</vt:i4>
      </vt:variant>
      <vt:variant>
        <vt:i4>5</vt:i4>
      </vt:variant>
      <vt:variant>
        <vt:lpwstr/>
      </vt:variant>
      <vt:variant>
        <vt:lpwstr>_Toc510690303</vt:lpwstr>
      </vt:variant>
      <vt:variant>
        <vt:i4>1048639</vt:i4>
      </vt:variant>
      <vt:variant>
        <vt:i4>38</vt:i4>
      </vt:variant>
      <vt:variant>
        <vt:i4>0</vt:i4>
      </vt:variant>
      <vt:variant>
        <vt:i4>5</vt:i4>
      </vt:variant>
      <vt:variant>
        <vt:lpwstr/>
      </vt:variant>
      <vt:variant>
        <vt:lpwstr>_Toc510690302</vt:lpwstr>
      </vt:variant>
      <vt:variant>
        <vt:i4>1048639</vt:i4>
      </vt:variant>
      <vt:variant>
        <vt:i4>32</vt:i4>
      </vt:variant>
      <vt:variant>
        <vt:i4>0</vt:i4>
      </vt:variant>
      <vt:variant>
        <vt:i4>5</vt:i4>
      </vt:variant>
      <vt:variant>
        <vt:lpwstr/>
      </vt:variant>
      <vt:variant>
        <vt:lpwstr>_Toc510690301</vt:lpwstr>
      </vt:variant>
      <vt:variant>
        <vt:i4>1048639</vt:i4>
      </vt:variant>
      <vt:variant>
        <vt:i4>26</vt:i4>
      </vt:variant>
      <vt:variant>
        <vt:i4>0</vt:i4>
      </vt:variant>
      <vt:variant>
        <vt:i4>5</vt:i4>
      </vt:variant>
      <vt:variant>
        <vt:lpwstr/>
      </vt:variant>
      <vt:variant>
        <vt:lpwstr>_Toc510690300</vt:lpwstr>
      </vt:variant>
      <vt:variant>
        <vt:i4>1638462</vt:i4>
      </vt:variant>
      <vt:variant>
        <vt:i4>20</vt:i4>
      </vt:variant>
      <vt:variant>
        <vt:i4>0</vt:i4>
      </vt:variant>
      <vt:variant>
        <vt:i4>5</vt:i4>
      </vt:variant>
      <vt:variant>
        <vt:lpwstr/>
      </vt:variant>
      <vt:variant>
        <vt:lpwstr>_Toc510690299</vt:lpwstr>
      </vt:variant>
      <vt:variant>
        <vt:i4>1638462</vt:i4>
      </vt:variant>
      <vt:variant>
        <vt:i4>14</vt:i4>
      </vt:variant>
      <vt:variant>
        <vt:i4>0</vt:i4>
      </vt:variant>
      <vt:variant>
        <vt:i4>5</vt:i4>
      </vt:variant>
      <vt:variant>
        <vt:lpwstr/>
      </vt:variant>
      <vt:variant>
        <vt:lpwstr>_Toc510690298</vt:lpwstr>
      </vt:variant>
      <vt:variant>
        <vt:i4>1638462</vt:i4>
      </vt:variant>
      <vt:variant>
        <vt:i4>8</vt:i4>
      </vt:variant>
      <vt:variant>
        <vt:i4>0</vt:i4>
      </vt:variant>
      <vt:variant>
        <vt:i4>5</vt:i4>
      </vt:variant>
      <vt:variant>
        <vt:lpwstr/>
      </vt:variant>
      <vt:variant>
        <vt:lpwstr>_Toc510690297</vt:lpwstr>
      </vt:variant>
      <vt:variant>
        <vt:i4>1638462</vt:i4>
      </vt:variant>
      <vt:variant>
        <vt:i4>2</vt:i4>
      </vt:variant>
      <vt:variant>
        <vt:i4>0</vt:i4>
      </vt:variant>
      <vt:variant>
        <vt:i4>5</vt:i4>
      </vt:variant>
      <vt:variant>
        <vt:lpwstr/>
      </vt:variant>
      <vt:variant>
        <vt:lpwstr>_Toc510690296</vt:lpwstr>
      </vt:variant>
      <vt:variant>
        <vt:i4>3145734</vt:i4>
      </vt:variant>
      <vt:variant>
        <vt:i4>14</vt:i4>
      </vt:variant>
      <vt:variant>
        <vt:i4>0</vt:i4>
      </vt:variant>
      <vt:variant>
        <vt:i4>5</vt:i4>
      </vt:variant>
      <vt:variant>
        <vt:lpwstr>mailto:dariasm@poder-judicial.go.cr</vt:lpwstr>
      </vt:variant>
      <vt:variant>
        <vt:lpwstr/>
      </vt:variant>
      <vt:variant>
        <vt:i4>6553686</vt:i4>
      </vt:variant>
      <vt:variant>
        <vt:i4>-1</vt:i4>
      </vt:variant>
      <vt:variant>
        <vt:i4>1028</vt:i4>
      </vt:variant>
      <vt:variant>
        <vt:i4>1</vt:i4>
      </vt:variant>
      <vt:variant>
        <vt:lpwstr>cid:889bdc3e-042c-4f12-bffd-3bc0bfc0370c@namprd16.prod.outlook.com</vt:lpwstr>
      </vt:variant>
      <vt:variant>
        <vt:lpwstr/>
      </vt:variant>
      <vt:variant>
        <vt:i4>6291541</vt:i4>
      </vt:variant>
      <vt:variant>
        <vt:i4>-1</vt:i4>
      </vt:variant>
      <vt:variant>
        <vt:i4>1029</vt:i4>
      </vt:variant>
      <vt:variant>
        <vt:i4>1</vt:i4>
      </vt:variant>
      <vt:variant>
        <vt:lpwstr>cid:f3f848e6-df10-4fad-a802-04642631088f@namprd16.prod.outlook.com</vt:lpwstr>
      </vt:variant>
      <vt:variant>
        <vt:lpwstr/>
      </vt:variant>
      <vt:variant>
        <vt:i4>3211269</vt:i4>
      </vt:variant>
      <vt:variant>
        <vt:i4>-1</vt:i4>
      </vt:variant>
      <vt:variant>
        <vt:i4>1030</vt:i4>
      </vt:variant>
      <vt:variant>
        <vt:i4>1</vt:i4>
      </vt:variant>
      <vt:variant>
        <vt:lpwstr>cid:7e17f4b1-ac22-4ad1-8968-1753b1e73c50@namprd16.prod.outlook.com</vt:lpwstr>
      </vt:variant>
      <vt:variant>
        <vt:lpwstr/>
      </vt:variant>
      <vt:variant>
        <vt:i4>6881374</vt:i4>
      </vt:variant>
      <vt:variant>
        <vt:i4>-1</vt:i4>
      </vt:variant>
      <vt:variant>
        <vt:i4>1031</vt:i4>
      </vt:variant>
      <vt:variant>
        <vt:i4>1</vt:i4>
      </vt:variant>
      <vt:variant>
        <vt:lpwstr>cid:158cf1ae-7c93-4766-b49e-4da062272a25@namprd16.prod.outlook.com</vt:lpwstr>
      </vt:variant>
      <vt:variant>
        <vt:lpwstr/>
      </vt:variant>
      <vt:variant>
        <vt:i4>6946911</vt:i4>
      </vt:variant>
      <vt:variant>
        <vt:i4>-1</vt:i4>
      </vt:variant>
      <vt:variant>
        <vt:i4>1032</vt:i4>
      </vt:variant>
      <vt:variant>
        <vt:i4>1</vt:i4>
      </vt:variant>
      <vt:variant>
        <vt:lpwstr>cid:04c2d9c3-5b98-4f28-bc70-ac74f50becc8@namprd16.prod.outlook.com</vt:lpwstr>
      </vt:variant>
      <vt:variant>
        <vt:lpwstr/>
      </vt:variant>
      <vt:variant>
        <vt:i4>3407873</vt:i4>
      </vt:variant>
      <vt:variant>
        <vt:i4>-1</vt:i4>
      </vt:variant>
      <vt:variant>
        <vt:i4>1033</vt:i4>
      </vt:variant>
      <vt:variant>
        <vt:i4>1</vt:i4>
      </vt:variant>
      <vt:variant>
        <vt:lpwstr>cid:b5096179-5430-4f9a-a241-2889bc480460@namprd16.prod.outlook.com</vt:lpwstr>
      </vt:variant>
      <vt:variant>
        <vt:lpwstr/>
      </vt:variant>
      <vt:variant>
        <vt:i4>3539034</vt:i4>
      </vt:variant>
      <vt:variant>
        <vt:i4>-1</vt:i4>
      </vt:variant>
      <vt:variant>
        <vt:i4>1034</vt:i4>
      </vt:variant>
      <vt:variant>
        <vt:i4>1</vt:i4>
      </vt:variant>
      <vt:variant>
        <vt:lpwstr>cid:a9d7cb00-c83b-47f9-9d04-1d116b78e129@namprd16.prod.outlook.com</vt:lpwstr>
      </vt:variant>
      <vt:variant>
        <vt:lpwstr/>
      </vt:variant>
      <vt:variant>
        <vt:i4>3342347</vt:i4>
      </vt:variant>
      <vt:variant>
        <vt:i4>-1</vt:i4>
      </vt:variant>
      <vt:variant>
        <vt:i4>1035</vt:i4>
      </vt:variant>
      <vt:variant>
        <vt:i4>1</vt:i4>
      </vt:variant>
      <vt:variant>
        <vt:lpwstr>cid:d38887c9-9f69-4728-8288-439800d11553@namprd16.prod.outlook.com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Suprema de Justicia</dc:title>
  <dc:creator>cjimegon</dc:creator>
  <cp:lastModifiedBy>María Gabriela Rojas Rojas</cp:lastModifiedBy>
  <cp:revision>2</cp:revision>
  <cp:lastPrinted>2021-06-25T21:18:00Z</cp:lastPrinted>
  <dcterms:created xsi:type="dcterms:W3CDTF">2021-09-23T20:09:00Z</dcterms:created>
  <dcterms:modified xsi:type="dcterms:W3CDTF">2021-09-23T20:09:00Z</dcterms:modified>
</cp:coreProperties>
</file>