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072BB9" w14:textId="224776F4" w:rsidR="008E6220" w:rsidRPr="00CE2A8A" w:rsidRDefault="004221A3" w:rsidP="000B7727">
      <w:pPr>
        <w:suppressAutoHyphens w:val="0"/>
        <w:jc w:val="center"/>
        <w:textAlignment w:val="baseline"/>
        <w:rPr>
          <w:rFonts w:ascii="Arial Narrow" w:eastAsia="SimSun" w:hAnsi="Arial Narrow"/>
          <w:kern w:val="0"/>
          <w:lang w:val="es-CR" w:eastAsia="zh-CN" w:bidi="hi-IN"/>
        </w:rPr>
      </w:pPr>
      <w:r w:rsidRPr="00CE2A8A">
        <w:rPr>
          <w:rFonts w:ascii="Arial Narrow" w:eastAsia="SimSun" w:hAnsi="Arial Narrow"/>
          <w:kern w:val="0"/>
          <w:lang w:val="es-CR" w:eastAsia="zh-CN" w:bidi="hi-IN"/>
        </w:rPr>
        <w:t>CIRCULAR</w:t>
      </w:r>
      <w:r w:rsidR="00A63C5D" w:rsidRPr="00CE2A8A">
        <w:rPr>
          <w:rFonts w:ascii="Arial Narrow" w:eastAsia="SimSun" w:hAnsi="Arial Narrow"/>
          <w:kern w:val="0"/>
          <w:lang w:val="es-CR" w:eastAsia="zh-CN" w:bidi="hi-IN"/>
        </w:rPr>
        <w:t xml:space="preserve"> </w:t>
      </w:r>
      <w:r w:rsidR="008E6220" w:rsidRPr="00CE2A8A">
        <w:rPr>
          <w:rFonts w:ascii="Arial Narrow" w:eastAsia="SimSun" w:hAnsi="Arial Narrow"/>
          <w:kern w:val="0"/>
          <w:lang w:val="es-CR" w:eastAsia="zh-CN" w:bidi="hi-IN"/>
        </w:rPr>
        <w:t>No.</w:t>
      </w:r>
      <w:r w:rsidR="00BD6172">
        <w:rPr>
          <w:rFonts w:ascii="Arial Narrow" w:eastAsia="SimSun" w:hAnsi="Arial Narrow"/>
          <w:kern w:val="0"/>
          <w:lang w:val="es-CR" w:eastAsia="zh-CN" w:bidi="hi-IN"/>
        </w:rPr>
        <w:t>258</w:t>
      </w:r>
      <w:r w:rsidR="00AA63E2" w:rsidRPr="00CE2A8A">
        <w:rPr>
          <w:rFonts w:ascii="Arial Narrow" w:eastAsia="SimSun" w:hAnsi="Arial Narrow"/>
          <w:kern w:val="0"/>
          <w:lang w:val="es-CR" w:eastAsia="zh-CN" w:bidi="hi-IN"/>
        </w:rPr>
        <w:t>-202</w:t>
      </w:r>
      <w:r w:rsidR="00F12CA0">
        <w:rPr>
          <w:rFonts w:ascii="Arial Narrow" w:eastAsia="SimSun" w:hAnsi="Arial Narrow"/>
          <w:kern w:val="0"/>
          <w:lang w:val="es-CR" w:eastAsia="zh-CN" w:bidi="hi-IN"/>
        </w:rPr>
        <w:t>4</w:t>
      </w:r>
    </w:p>
    <w:p w14:paraId="60F32560" w14:textId="77777777" w:rsidR="004F3186" w:rsidRPr="00CE2A8A" w:rsidRDefault="004F3186" w:rsidP="00222CDE">
      <w:pPr>
        <w:suppressAutoHyphens w:val="0"/>
        <w:ind w:firstLine="709"/>
        <w:jc w:val="both"/>
        <w:textAlignment w:val="baseline"/>
        <w:rPr>
          <w:rFonts w:ascii="Arial Narrow" w:eastAsia="SimSun" w:hAnsi="Arial Narrow"/>
          <w:kern w:val="0"/>
          <w:lang w:val="es-CR" w:eastAsia="zh-CN" w:bidi="hi-IN"/>
        </w:rPr>
      </w:pPr>
    </w:p>
    <w:p w14:paraId="0B47345A" w14:textId="1E1A55D2" w:rsidR="008D545A" w:rsidRPr="009831EE" w:rsidRDefault="003C0AEA" w:rsidP="009831EE">
      <w:pPr>
        <w:autoSpaceDE w:val="0"/>
        <w:autoSpaceDN w:val="0"/>
        <w:adjustRightInd w:val="0"/>
        <w:spacing w:before="120" w:after="120"/>
        <w:jc w:val="both"/>
        <w:rPr>
          <w:rFonts w:ascii="Arial Narrow" w:eastAsia="Times New Roman" w:hAnsi="Arial Narrow"/>
          <w:kern w:val="0"/>
          <w:lang w:val="es-CR"/>
        </w:rPr>
      </w:pPr>
      <w:r w:rsidRPr="00CE2A8A">
        <w:rPr>
          <w:rFonts w:ascii="Arial Narrow" w:hAnsi="Arial Narrow"/>
          <w:color w:val="000000" w:themeColor="text1"/>
        </w:rPr>
        <w:t>Asunto:</w:t>
      </w:r>
      <w:r w:rsidR="00150A1A">
        <w:rPr>
          <w:rFonts w:ascii="Arial Narrow" w:hAnsi="Arial Narrow"/>
          <w:color w:val="000000" w:themeColor="text1"/>
        </w:rPr>
        <w:t xml:space="preserve"> </w:t>
      </w:r>
      <w:r w:rsidR="00150A1A" w:rsidRPr="00150A1A">
        <w:rPr>
          <w:rFonts w:ascii="Arial Narrow" w:hAnsi="Arial Narrow"/>
          <w:lang w:eastAsia="es-ES"/>
        </w:rPr>
        <w:t>Salario base sobre el cual se definen las penas a aplicar por la comisión de diversas figuras delictivas contenidas en el Código Penal y demás normativa durante el 2025</w:t>
      </w:r>
      <w:r w:rsidR="00150A1A">
        <w:rPr>
          <w:rFonts w:ascii="Arial Narrow" w:hAnsi="Arial Narrow"/>
          <w:lang w:eastAsia="es-ES"/>
        </w:rPr>
        <w:t>.</w:t>
      </w:r>
    </w:p>
    <w:p w14:paraId="0A78052D" w14:textId="77777777" w:rsidR="00150A1A" w:rsidRDefault="00150A1A" w:rsidP="00150A1A">
      <w:pPr>
        <w:widowControl/>
        <w:suppressAutoHyphens w:val="0"/>
        <w:rPr>
          <w:rFonts w:ascii="Arial Narrow" w:hAnsi="Arial Narrow"/>
        </w:rPr>
      </w:pPr>
    </w:p>
    <w:p w14:paraId="26739F2D" w14:textId="2A286600" w:rsidR="003D17B8" w:rsidRPr="00CE2A8A" w:rsidRDefault="00150A1A" w:rsidP="00D43B03">
      <w:pPr>
        <w:widowControl/>
        <w:suppressAutoHyphens w:val="0"/>
        <w:jc w:val="center"/>
        <w:rPr>
          <w:rFonts w:ascii="Arial Narrow" w:hAnsi="Arial Narrow"/>
        </w:rPr>
      </w:pPr>
      <w:r w:rsidRPr="00150A1A">
        <w:rPr>
          <w:rFonts w:ascii="Arial Narrow" w:hAnsi="Arial Narrow"/>
        </w:rPr>
        <w:t>A LAS AUTORIDADES JUDICIALES, INSTITUCIONES, ABOGADAS, ABOGADOS Y PÚBLICO EN GENERAL</w:t>
      </w:r>
    </w:p>
    <w:p w14:paraId="31BCD182" w14:textId="061815A5" w:rsidR="003C0AEA" w:rsidRPr="00CE2A8A" w:rsidRDefault="003D17B8" w:rsidP="003D17B8">
      <w:pPr>
        <w:widowControl/>
        <w:suppressAutoHyphens w:val="0"/>
        <w:jc w:val="center"/>
        <w:rPr>
          <w:rFonts w:ascii="Arial Narrow" w:hAnsi="Arial Narrow"/>
          <w:color w:val="000000" w:themeColor="text1"/>
        </w:rPr>
      </w:pPr>
      <w:r w:rsidRPr="00CE2A8A">
        <w:rPr>
          <w:rFonts w:ascii="Arial Narrow" w:hAnsi="Arial Narrow"/>
        </w:rPr>
        <w:t xml:space="preserve">SE </w:t>
      </w:r>
      <w:r w:rsidR="00D947FA" w:rsidRPr="00CE2A8A">
        <w:rPr>
          <w:rFonts w:ascii="Arial Narrow" w:hAnsi="Arial Narrow"/>
        </w:rPr>
        <w:t>LES HACE SABER QUE</w:t>
      </w:r>
      <w:r w:rsidR="003C0AEA" w:rsidRPr="00CE2A8A">
        <w:rPr>
          <w:rFonts w:ascii="Arial Narrow" w:hAnsi="Arial Narrow"/>
          <w:color w:val="000000" w:themeColor="text1"/>
        </w:rPr>
        <w:t>:</w:t>
      </w:r>
    </w:p>
    <w:p w14:paraId="33BE4271" w14:textId="77777777" w:rsidR="003C0AEA" w:rsidRPr="000B7727" w:rsidRDefault="003C0AEA" w:rsidP="00222CDE">
      <w:pPr>
        <w:ind w:left="851" w:right="851" w:firstLine="709"/>
        <w:jc w:val="both"/>
        <w:rPr>
          <w:rFonts w:ascii="Arial Narrow" w:hAnsi="Arial Narrow"/>
          <w:bCs/>
          <w:color w:val="000000" w:themeColor="text1"/>
        </w:rPr>
      </w:pPr>
    </w:p>
    <w:p w14:paraId="57E3B87A" w14:textId="686E527F" w:rsidR="00FA7DB9" w:rsidRDefault="009831EE" w:rsidP="00E208F9">
      <w:pPr>
        <w:tabs>
          <w:tab w:val="left" w:pos="9072"/>
        </w:tabs>
        <w:suppressAutoHyphens w:val="0"/>
        <w:ind w:firstLine="709"/>
        <w:jc w:val="both"/>
        <w:rPr>
          <w:rFonts w:ascii="Arial Narrow" w:hAnsi="Arial Narrow"/>
          <w:lang w:eastAsia="es-ES"/>
        </w:rPr>
      </w:pPr>
      <w:r w:rsidRPr="000B7727">
        <w:rPr>
          <w:rFonts w:ascii="Arial Narrow" w:hAnsi="Arial Narrow"/>
        </w:rPr>
        <w:t>E</w:t>
      </w:r>
      <w:r w:rsidR="00645FF4">
        <w:rPr>
          <w:rFonts w:ascii="Arial Narrow" w:hAnsi="Arial Narrow"/>
        </w:rPr>
        <w:t>l</w:t>
      </w:r>
      <w:r w:rsidRPr="000B7727">
        <w:rPr>
          <w:rFonts w:ascii="Arial Narrow" w:hAnsi="Arial Narrow"/>
        </w:rPr>
        <w:t xml:space="preserve"> Consejo Superior del Poder Judicial, e</w:t>
      </w:r>
      <w:r w:rsidRPr="009831EE">
        <w:rPr>
          <w:rFonts w:ascii="Arial Narrow" w:hAnsi="Arial Narrow"/>
        </w:rPr>
        <w:t>n sesión número 1</w:t>
      </w:r>
      <w:r w:rsidR="00645FF4">
        <w:rPr>
          <w:rFonts w:ascii="Arial Narrow" w:hAnsi="Arial Narrow"/>
        </w:rPr>
        <w:t>14</w:t>
      </w:r>
      <w:r w:rsidRPr="009831EE">
        <w:rPr>
          <w:rFonts w:ascii="Arial Narrow" w:hAnsi="Arial Narrow"/>
        </w:rPr>
        <w:t>-2024 celebrada el 1</w:t>
      </w:r>
      <w:r w:rsidR="00645FF4">
        <w:rPr>
          <w:rFonts w:ascii="Arial Narrow" w:hAnsi="Arial Narrow"/>
        </w:rPr>
        <w:t>2</w:t>
      </w:r>
      <w:r w:rsidRPr="009831EE">
        <w:rPr>
          <w:rFonts w:ascii="Arial Narrow" w:hAnsi="Arial Narrow"/>
        </w:rPr>
        <w:t xml:space="preserve"> de </w:t>
      </w:r>
      <w:r w:rsidR="00645FF4">
        <w:rPr>
          <w:rFonts w:ascii="Arial Narrow" w:hAnsi="Arial Narrow"/>
        </w:rPr>
        <w:t>diciembre</w:t>
      </w:r>
      <w:r w:rsidRPr="009831EE">
        <w:rPr>
          <w:rFonts w:ascii="Arial Narrow" w:hAnsi="Arial Narrow"/>
        </w:rPr>
        <w:t xml:space="preserve"> de 2024</w:t>
      </w:r>
      <w:r w:rsidRPr="000B7727">
        <w:rPr>
          <w:rFonts w:ascii="Arial Narrow" w:hAnsi="Arial Narrow"/>
        </w:rPr>
        <w:t xml:space="preserve">, artículo </w:t>
      </w:r>
      <w:r w:rsidR="00645FF4">
        <w:rPr>
          <w:rFonts w:ascii="Arial Narrow" w:hAnsi="Arial Narrow"/>
        </w:rPr>
        <w:t>XXI</w:t>
      </w:r>
      <w:r w:rsidR="00E208F9">
        <w:rPr>
          <w:rFonts w:ascii="Arial Narrow" w:hAnsi="Arial Narrow"/>
        </w:rPr>
        <w:t>,</w:t>
      </w:r>
      <w:r w:rsidR="00645FF4">
        <w:rPr>
          <w:rFonts w:ascii="Arial Narrow" w:hAnsi="Arial Narrow"/>
        </w:rPr>
        <w:t xml:space="preserve"> </w:t>
      </w:r>
      <w:r w:rsidR="00645FF4" w:rsidRPr="00645FF4">
        <w:rPr>
          <w:rFonts w:ascii="Arial Narrow" w:hAnsi="Arial Narrow"/>
        </w:rPr>
        <w:t xml:space="preserve">conoció el oficio </w:t>
      </w:r>
      <w:proofErr w:type="spellStart"/>
      <w:r w:rsidR="00645FF4" w:rsidRPr="00645FF4">
        <w:rPr>
          <w:rFonts w:ascii="Arial Narrow" w:hAnsi="Arial Narrow"/>
        </w:rPr>
        <w:t>N°</w:t>
      </w:r>
      <w:proofErr w:type="spellEnd"/>
      <w:r w:rsidR="00645FF4">
        <w:rPr>
          <w:rFonts w:ascii="Arial Narrow" w:hAnsi="Arial Narrow"/>
        </w:rPr>
        <w:t xml:space="preserve"> </w:t>
      </w:r>
      <w:r w:rsidR="00645FF4" w:rsidRPr="00645FF4">
        <w:rPr>
          <w:rFonts w:ascii="Arial Narrow" w:hAnsi="Arial Narrow"/>
          <w:bCs/>
          <w:lang w:val="es-CR"/>
        </w:rPr>
        <w:t xml:space="preserve">DJ-2895-2024 </w:t>
      </w:r>
      <w:r w:rsidR="00645FF4">
        <w:rPr>
          <w:rFonts w:ascii="Arial Narrow" w:hAnsi="Arial Narrow"/>
          <w:bCs/>
          <w:lang w:val="es-CR"/>
        </w:rPr>
        <w:t>de la Dirección Jurídica</w:t>
      </w:r>
      <w:r w:rsidR="00645FF4" w:rsidRPr="00645FF4">
        <w:rPr>
          <w:rFonts w:ascii="Arial Narrow" w:hAnsi="Arial Narrow"/>
        </w:rPr>
        <w:t xml:space="preserve">, </w:t>
      </w:r>
      <w:r w:rsidR="00FA7DB9">
        <w:rPr>
          <w:rFonts w:ascii="Arial Narrow" w:hAnsi="Arial Narrow"/>
        </w:rPr>
        <w:t xml:space="preserve">y se acordó comunicar </w:t>
      </w:r>
      <w:r w:rsidR="00CF31B3">
        <w:rPr>
          <w:rFonts w:ascii="Arial Narrow" w:hAnsi="Arial Narrow"/>
        </w:rPr>
        <w:t xml:space="preserve">el </w:t>
      </w:r>
      <w:r w:rsidR="00CF31B3">
        <w:rPr>
          <w:rFonts w:ascii="Arial Narrow" w:hAnsi="Arial Narrow"/>
          <w:lang w:eastAsia="es-ES"/>
        </w:rPr>
        <w:t>s</w:t>
      </w:r>
      <w:r w:rsidR="00CF31B3" w:rsidRPr="00150A1A">
        <w:rPr>
          <w:rFonts w:ascii="Arial Narrow" w:hAnsi="Arial Narrow"/>
          <w:lang w:eastAsia="es-ES"/>
        </w:rPr>
        <w:t>alario base sobre el cual se definen las penas a aplicar por la comisión de diversas figuras delictivas contenidas en el Código Penal y demás normativa durante el 2025</w:t>
      </w:r>
      <w:r w:rsidR="00E208F9">
        <w:rPr>
          <w:rFonts w:ascii="Arial Narrow" w:hAnsi="Arial Narrow"/>
          <w:lang w:eastAsia="es-ES"/>
        </w:rPr>
        <w:t>.</w:t>
      </w:r>
    </w:p>
    <w:p w14:paraId="51BCB753" w14:textId="77777777" w:rsidR="00E208F9" w:rsidRDefault="00E208F9" w:rsidP="00E208F9">
      <w:pPr>
        <w:tabs>
          <w:tab w:val="left" w:pos="9072"/>
        </w:tabs>
        <w:suppressAutoHyphens w:val="0"/>
        <w:ind w:firstLine="709"/>
        <w:jc w:val="both"/>
        <w:rPr>
          <w:rFonts w:ascii="Arial Narrow" w:hAnsi="Arial Narrow"/>
        </w:rPr>
      </w:pPr>
    </w:p>
    <w:p w14:paraId="2E90C35E" w14:textId="5EB0DED0" w:rsidR="00FA7DB9" w:rsidRPr="00FA7DB9" w:rsidRDefault="00FA7DB9" w:rsidP="00FA7DB9">
      <w:pPr>
        <w:tabs>
          <w:tab w:val="left" w:pos="9072"/>
        </w:tabs>
        <w:suppressAutoHyphens w:val="0"/>
        <w:ind w:firstLine="709"/>
        <w:jc w:val="both"/>
        <w:rPr>
          <w:rFonts w:ascii="Arial Narrow" w:hAnsi="Arial Narrow"/>
        </w:rPr>
      </w:pPr>
      <w:r>
        <w:rPr>
          <w:rFonts w:ascii="Arial Narrow" w:hAnsi="Arial Narrow"/>
        </w:rPr>
        <w:t>D</w:t>
      </w:r>
      <w:r w:rsidRPr="00FA7DB9">
        <w:rPr>
          <w:rFonts w:ascii="Arial Narrow" w:hAnsi="Arial Narrow"/>
        </w:rPr>
        <w:t xml:space="preserve">e conformidad con lo que establece el artículo 2° de la Ley No. 7337 de 5 de mayo de 1993, que reformó varios artículos del Código Penal, </w:t>
      </w:r>
      <w:r w:rsidR="00E208F9">
        <w:rPr>
          <w:rFonts w:ascii="Arial Narrow" w:hAnsi="Arial Narrow"/>
        </w:rPr>
        <w:t xml:space="preserve">se </w:t>
      </w:r>
      <w:r w:rsidRPr="00FA7DB9">
        <w:rPr>
          <w:rFonts w:ascii="Arial Narrow" w:hAnsi="Arial Narrow"/>
        </w:rPr>
        <w:t xml:space="preserve">dispuso comunicarles que a partir del 1° de enero del 2025, el salario base que se debe aplicar para definir las penas por la comisión de esas figuras delictivas, así como de las contenidas en otras leyes que refieran a la citada norma es de ¢ 462.200.00 (cuatrocientos sesenta y dos mil doscientos colones exactos). </w:t>
      </w:r>
    </w:p>
    <w:p w14:paraId="71A7AD56" w14:textId="3C2CFE52" w:rsidR="00FA7DB9" w:rsidRPr="00FA7DB9" w:rsidRDefault="00FA7DB9" w:rsidP="00FA7DB9">
      <w:pPr>
        <w:tabs>
          <w:tab w:val="left" w:pos="9072"/>
        </w:tabs>
        <w:suppressAutoHyphens w:val="0"/>
        <w:jc w:val="both"/>
        <w:rPr>
          <w:rFonts w:ascii="Arial Narrow" w:hAnsi="Arial Narrow"/>
        </w:rPr>
      </w:pPr>
    </w:p>
    <w:p w14:paraId="48B1BF84" w14:textId="6387C844" w:rsidR="00FA7DB9" w:rsidRPr="00FA7DB9" w:rsidRDefault="00E208F9" w:rsidP="00FA7DB9">
      <w:pPr>
        <w:tabs>
          <w:tab w:val="left" w:pos="9072"/>
        </w:tabs>
        <w:suppressAutoHyphens w:val="0"/>
        <w:ind w:firstLine="709"/>
        <w:jc w:val="both"/>
        <w:rPr>
          <w:rFonts w:ascii="Arial Narrow" w:hAnsi="Arial Narrow"/>
        </w:rPr>
      </w:pPr>
      <w:r>
        <w:rPr>
          <w:rFonts w:ascii="Arial Narrow" w:hAnsi="Arial Narrow"/>
        </w:rPr>
        <w:t>Lo anterior c</w:t>
      </w:r>
      <w:r w:rsidR="00FA7DB9" w:rsidRPr="00FA7DB9">
        <w:rPr>
          <w:rFonts w:ascii="Arial Narrow" w:hAnsi="Arial Narrow"/>
        </w:rPr>
        <w:t xml:space="preserve">on </w:t>
      </w:r>
      <w:r w:rsidR="00FA7DB9" w:rsidRPr="00981200">
        <w:rPr>
          <w:rFonts w:ascii="Arial Narrow" w:hAnsi="Arial Narrow"/>
        </w:rPr>
        <w:t xml:space="preserve">fundamento en la normativa analizada y en la </w:t>
      </w:r>
      <w:r w:rsidR="00FA7DB9" w:rsidRPr="00981200">
        <w:rPr>
          <w:rFonts w:ascii="Arial Narrow" w:hAnsi="Arial Narrow"/>
          <w:bCs/>
        </w:rPr>
        <w:t>Ley No. 10.620, denominada “Ley de Presupuesto Ordinario y Extraordinario de la República para el Ejercicio Económico 2025”</w:t>
      </w:r>
      <w:r w:rsidR="00FA7DB9" w:rsidRPr="00981200">
        <w:rPr>
          <w:rFonts w:ascii="Arial Narrow" w:hAnsi="Arial Narrow"/>
        </w:rPr>
        <w:t>, publicada en el Diario Oficial La Gaceta número 230, Alcance número 197, del viernes 6 de diciembre de 2024</w:t>
      </w:r>
      <w:r>
        <w:rPr>
          <w:rFonts w:ascii="Arial Narrow" w:hAnsi="Arial Narrow"/>
        </w:rPr>
        <w:t>.</w:t>
      </w:r>
    </w:p>
    <w:p w14:paraId="660D0DC8" w14:textId="77777777" w:rsidR="00FA7DB9" w:rsidRDefault="00FA7DB9" w:rsidP="00FA7DB9">
      <w:pPr>
        <w:tabs>
          <w:tab w:val="left" w:pos="9072"/>
        </w:tabs>
        <w:suppressAutoHyphens w:val="0"/>
        <w:ind w:firstLine="709"/>
        <w:jc w:val="both"/>
        <w:rPr>
          <w:rFonts w:ascii="Arial Narrow" w:hAnsi="Arial Narrow"/>
        </w:rPr>
      </w:pPr>
    </w:p>
    <w:p w14:paraId="123647DC" w14:textId="5765B5AB" w:rsidR="00FA7DB9" w:rsidRDefault="00FA7DB9" w:rsidP="00FA7DB9">
      <w:pPr>
        <w:tabs>
          <w:tab w:val="left" w:pos="9072"/>
        </w:tabs>
        <w:suppressAutoHyphens w:val="0"/>
        <w:ind w:firstLine="709"/>
        <w:jc w:val="both"/>
        <w:rPr>
          <w:rFonts w:ascii="Arial Narrow" w:hAnsi="Arial Narrow"/>
          <w:lang w:val="es-ES" w:eastAsia="zh-CN"/>
        </w:rPr>
      </w:pPr>
      <w:r>
        <w:rPr>
          <w:rFonts w:ascii="Arial Narrow" w:hAnsi="Arial Narrow"/>
        </w:rPr>
        <w:t xml:space="preserve">Los anexos </w:t>
      </w:r>
      <w:r>
        <w:rPr>
          <w:rFonts w:ascii="Arial Narrow" w:hAnsi="Arial Narrow"/>
          <w:lang w:val="es-ES" w:eastAsia="zh-CN"/>
        </w:rPr>
        <w:t xml:space="preserve">se podrán consultar en </w:t>
      </w:r>
      <w:r w:rsidR="003D3B6C">
        <w:rPr>
          <w:rFonts w:ascii="Arial Narrow" w:hAnsi="Arial Narrow"/>
          <w:lang w:val="es-ES" w:eastAsia="zh-CN"/>
        </w:rPr>
        <w:t>el</w:t>
      </w:r>
      <w:r>
        <w:rPr>
          <w:rFonts w:ascii="Arial Narrow" w:hAnsi="Arial Narrow"/>
          <w:lang w:val="es-ES" w:eastAsia="zh-CN"/>
        </w:rPr>
        <w:t xml:space="preserve"> siguiente link:</w:t>
      </w:r>
    </w:p>
    <w:p w14:paraId="7175041F" w14:textId="77777777" w:rsidR="003D3B6C" w:rsidRDefault="003D3B6C" w:rsidP="00FA7DB9">
      <w:pPr>
        <w:tabs>
          <w:tab w:val="left" w:pos="9072"/>
        </w:tabs>
        <w:suppressAutoHyphens w:val="0"/>
        <w:ind w:firstLine="709"/>
        <w:jc w:val="both"/>
        <w:rPr>
          <w:rFonts w:ascii="Arial Narrow" w:hAnsi="Arial Narrow"/>
          <w:lang w:val="es-ES" w:eastAsia="zh-CN"/>
        </w:rPr>
      </w:pPr>
    </w:p>
    <w:p w14:paraId="01F08ABA" w14:textId="63940847" w:rsidR="00FF6244" w:rsidRDefault="00D43B03" w:rsidP="00D43B03">
      <w:pPr>
        <w:rPr>
          <w:rFonts w:ascii="Arial Narrow" w:eastAsia="Times New Roman" w:hAnsi="Arial Narrow"/>
          <w:color w:val="000000"/>
          <w:kern w:val="0"/>
          <w:lang w:val="es-CR"/>
        </w:rPr>
      </w:pPr>
      <w:hyperlink r:id="rId7" w:history="1">
        <w:r w:rsidRPr="00D43B03">
          <w:rPr>
            <w:rStyle w:val="Hipervnculo"/>
            <w:rFonts w:ascii="Arial Narrow" w:eastAsia="Times New Roman" w:hAnsi="Arial Narrow"/>
            <w:kern w:val="0"/>
            <w:lang w:val="es-CR"/>
          </w:rPr>
          <w:t>https://secretariacorte.poder-judicial.go.cr/index.php/informacion-general/documentos-interes?download=53602:salario-base-sobre-el-cual-se-definen-las-penas-a-aplicar-por-la-comision-de-diversas-figuras-delictivas-contenidas-en-el-codigo-penal-y-demas-normativa-durante-el-2025</w:t>
        </w:r>
      </w:hyperlink>
    </w:p>
    <w:p w14:paraId="2C03D5A8" w14:textId="77777777" w:rsidR="00D43B03" w:rsidRPr="00D43B03" w:rsidRDefault="00D43B03" w:rsidP="00D43B03">
      <w:pPr>
        <w:rPr>
          <w:rFonts w:ascii="Arial Narrow" w:eastAsia="Times New Roman" w:hAnsi="Arial Narrow"/>
          <w:color w:val="000000"/>
          <w:kern w:val="0"/>
          <w:lang w:val="es-CR"/>
        </w:rPr>
      </w:pPr>
    </w:p>
    <w:p w14:paraId="588F761A" w14:textId="5FFEF2D5" w:rsidR="00626FD4" w:rsidRDefault="00876032" w:rsidP="003D3B6C">
      <w:pPr>
        <w:ind w:right="851"/>
        <w:jc w:val="center"/>
        <w:rPr>
          <w:rFonts w:ascii="Arial Narrow" w:hAnsi="Arial Narrow"/>
        </w:rPr>
      </w:pPr>
      <w:r w:rsidRPr="000B7727">
        <w:rPr>
          <w:rFonts w:ascii="Arial Narrow" w:hAnsi="Arial Narrow"/>
        </w:rPr>
        <w:t>-0-</w:t>
      </w:r>
    </w:p>
    <w:p w14:paraId="6450D4BB" w14:textId="0879C940" w:rsidR="00876032" w:rsidRPr="000B7727" w:rsidRDefault="00876032" w:rsidP="003D3B6C">
      <w:pPr>
        <w:ind w:right="851"/>
        <w:jc w:val="both"/>
        <w:rPr>
          <w:rFonts w:ascii="Arial Narrow" w:eastAsia="Calibri" w:hAnsi="Arial Narrow"/>
          <w:lang w:val="es-CR"/>
        </w:rPr>
      </w:pPr>
    </w:p>
    <w:p w14:paraId="7194118C" w14:textId="77777777" w:rsidR="008E6220" w:rsidRPr="00CA2B1C" w:rsidRDefault="008E6220" w:rsidP="00222CDE">
      <w:pPr>
        <w:suppressAutoHyphens w:val="0"/>
        <w:ind w:firstLine="709"/>
        <w:jc w:val="both"/>
        <w:textAlignment w:val="baseline"/>
        <w:rPr>
          <w:rFonts w:ascii="Arial Narrow" w:eastAsia="SimSun" w:hAnsi="Arial Narrow"/>
          <w:kern w:val="0"/>
          <w:lang w:val="es-CR" w:eastAsia="zh-CN" w:bidi="hi-IN"/>
        </w:rPr>
      </w:pPr>
      <w:r w:rsidRPr="00CA2B1C">
        <w:rPr>
          <w:rFonts w:ascii="Arial Narrow" w:eastAsia="SimSun" w:hAnsi="Arial Narrow"/>
          <w:kern w:val="0"/>
          <w:lang w:eastAsia="en-US" w:bidi="hi-IN"/>
        </w:rPr>
        <w:t>Publíquese una sola vez en el Boletín Judicial.</w:t>
      </w:r>
      <w:r w:rsidRPr="00CA2B1C">
        <w:rPr>
          <w:rFonts w:ascii="Arial Narrow" w:eastAsia="Batang" w:hAnsi="Arial Narrow"/>
          <w:kern w:val="0"/>
          <w:lang w:val="es-CR" w:eastAsia="ko-KR"/>
        </w:rPr>
        <w:t>”</w:t>
      </w:r>
    </w:p>
    <w:p w14:paraId="48912F13" w14:textId="77777777" w:rsidR="00626FD4" w:rsidRDefault="00626FD4" w:rsidP="003D3B6C">
      <w:pPr>
        <w:widowControl/>
        <w:suppressAutoHyphens w:val="0"/>
        <w:autoSpaceDE w:val="0"/>
        <w:autoSpaceDN w:val="0"/>
        <w:adjustRightInd w:val="0"/>
        <w:jc w:val="both"/>
        <w:rPr>
          <w:rFonts w:ascii="Arial Narrow" w:hAnsi="Arial Narrow"/>
        </w:rPr>
      </w:pPr>
    </w:p>
    <w:p w14:paraId="65D0BA79" w14:textId="7EC355F3" w:rsidR="00635892" w:rsidRPr="00CA2B1C" w:rsidRDefault="00635892" w:rsidP="00222CDE">
      <w:pPr>
        <w:widowControl/>
        <w:suppressAutoHyphens w:val="0"/>
        <w:autoSpaceDE w:val="0"/>
        <w:autoSpaceDN w:val="0"/>
        <w:adjustRightInd w:val="0"/>
        <w:ind w:firstLine="709"/>
        <w:jc w:val="both"/>
        <w:rPr>
          <w:rFonts w:ascii="Arial Narrow" w:eastAsia="Times New Roman" w:hAnsi="Arial Narrow"/>
          <w:kern w:val="0"/>
          <w:lang w:eastAsia="es-ES"/>
        </w:rPr>
      </w:pPr>
      <w:r w:rsidRPr="00CA2B1C">
        <w:rPr>
          <w:rFonts w:ascii="Arial Narrow" w:hAnsi="Arial Narrow"/>
        </w:rPr>
        <w:t xml:space="preserve">San José, </w:t>
      </w:r>
      <w:r w:rsidR="00150A1A">
        <w:rPr>
          <w:rFonts w:ascii="Arial Narrow" w:hAnsi="Arial Narrow"/>
        </w:rPr>
        <w:t>13</w:t>
      </w:r>
      <w:r w:rsidR="00307884" w:rsidRPr="00CA2B1C">
        <w:rPr>
          <w:rFonts w:ascii="Arial Narrow" w:hAnsi="Arial Narrow"/>
        </w:rPr>
        <w:t xml:space="preserve"> de </w:t>
      </w:r>
      <w:r w:rsidR="00150A1A">
        <w:rPr>
          <w:rFonts w:ascii="Arial Narrow" w:hAnsi="Arial Narrow"/>
        </w:rPr>
        <w:t>diciembre</w:t>
      </w:r>
      <w:r w:rsidR="006E643E" w:rsidRPr="00CA2B1C">
        <w:rPr>
          <w:rFonts w:ascii="Arial Narrow" w:hAnsi="Arial Narrow"/>
        </w:rPr>
        <w:t xml:space="preserve"> </w:t>
      </w:r>
      <w:r w:rsidRPr="00CA2B1C">
        <w:rPr>
          <w:rFonts w:ascii="Arial Narrow" w:hAnsi="Arial Narrow"/>
        </w:rPr>
        <w:t>de 20</w:t>
      </w:r>
      <w:r w:rsidR="00AA63E2" w:rsidRPr="00CA2B1C">
        <w:rPr>
          <w:rFonts w:ascii="Arial Narrow" w:hAnsi="Arial Narrow"/>
        </w:rPr>
        <w:t>2</w:t>
      </w:r>
      <w:r w:rsidR="000948C1">
        <w:rPr>
          <w:rFonts w:ascii="Arial Narrow" w:hAnsi="Arial Narrow"/>
        </w:rPr>
        <w:t>4</w:t>
      </w:r>
      <w:r w:rsidRPr="00CA2B1C">
        <w:rPr>
          <w:rFonts w:ascii="Arial Narrow" w:hAnsi="Arial Narrow"/>
        </w:rPr>
        <w:t>.</w:t>
      </w:r>
    </w:p>
    <w:p w14:paraId="59BE66B2" w14:textId="77777777" w:rsidR="00D43B03" w:rsidRPr="00CA2B1C" w:rsidRDefault="00D43B03" w:rsidP="00FA7DB9">
      <w:pPr>
        <w:spacing w:before="100" w:beforeAutospacing="1" w:after="100" w:afterAutospacing="1"/>
        <w:jc w:val="both"/>
        <w:rPr>
          <w:rFonts w:ascii="Arial Narrow" w:hAnsi="Arial Narrow"/>
        </w:rPr>
      </w:pPr>
    </w:p>
    <w:p w14:paraId="4DF4A33D" w14:textId="53CAB4DF" w:rsidR="00635892" w:rsidRPr="00CA2B1C" w:rsidRDefault="00635892" w:rsidP="000948C1">
      <w:pPr>
        <w:ind w:firstLine="709"/>
        <w:jc w:val="center"/>
        <w:rPr>
          <w:rFonts w:ascii="Arial Narrow" w:hAnsi="Arial Narrow"/>
          <w:lang w:val="pt-BR"/>
        </w:rPr>
      </w:pPr>
      <w:r w:rsidRPr="00CA2B1C">
        <w:rPr>
          <w:rFonts w:ascii="Arial Narrow" w:hAnsi="Arial Narrow"/>
          <w:lang w:val="pt-BR"/>
        </w:rPr>
        <w:t xml:space="preserve">Lic. </w:t>
      </w:r>
      <w:r w:rsidR="001861E2" w:rsidRPr="00CA2B1C">
        <w:rPr>
          <w:rFonts w:ascii="Arial Narrow" w:hAnsi="Arial Narrow"/>
          <w:lang w:val="pt-BR"/>
        </w:rPr>
        <w:t>Carlos T. Mora Rodríguez</w:t>
      </w:r>
    </w:p>
    <w:p w14:paraId="3D274376" w14:textId="511A843C" w:rsidR="00635892" w:rsidRPr="00CA2B1C" w:rsidRDefault="00635892" w:rsidP="000948C1">
      <w:pPr>
        <w:ind w:firstLine="709"/>
        <w:jc w:val="center"/>
        <w:rPr>
          <w:rFonts w:ascii="Arial Narrow" w:hAnsi="Arial Narrow"/>
          <w:lang w:val="pt-BR"/>
        </w:rPr>
      </w:pPr>
      <w:r w:rsidRPr="00CA2B1C">
        <w:rPr>
          <w:rFonts w:ascii="Arial Narrow" w:hAnsi="Arial Narrow"/>
          <w:lang w:val="pt-BR"/>
        </w:rPr>
        <w:t>S</w:t>
      </w:r>
      <w:r w:rsidR="001861E2" w:rsidRPr="00CA2B1C">
        <w:rPr>
          <w:rFonts w:ascii="Arial Narrow" w:hAnsi="Arial Narrow"/>
          <w:lang w:val="pt-BR"/>
        </w:rPr>
        <w:t>ubse</w:t>
      </w:r>
      <w:r w:rsidRPr="00CA2B1C">
        <w:rPr>
          <w:rFonts w:ascii="Arial Narrow" w:hAnsi="Arial Narrow"/>
          <w:lang w:val="pt-BR"/>
        </w:rPr>
        <w:t>cretari</w:t>
      </w:r>
      <w:r w:rsidR="001861E2" w:rsidRPr="00CA2B1C">
        <w:rPr>
          <w:rFonts w:ascii="Arial Narrow" w:hAnsi="Arial Narrow"/>
          <w:lang w:val="pt-BR"/>
        </w:rPr>
        <w:t>o</w:t>
      </w:r>
      <w:r w:rsidRPr="00CA2B1C">
        <w:rPr>
          <w:rFonts w:ascii="Arial Narrow" w:hAnsi="Arial Narrow"/>
          <w:lang w:val="pt-BR"/>
        </w:rPr>
        <w:t xml:space="preserve"> General</w:t>
      </w:r>
      <w:r w:rsidR="001861E2" w:rsidRPr="00CA2B1C">
        <w:rPr>
          <w:rFonts w:ascii="Arial Narrow" w:hAnsi="Arial Narrow"/>
          <w:lang w:val="pt-BR"/>
        </w:rPr>
        <w:t xml:space="preserve"> interino</w:t>
      </w:r>
    </w:p>
    <w:p w14:paraId="79D3FEC5" w14:textId="664B0999" w:rsidR="00635892" w:rsidRPr="003D3B6C" w:rsidRDefault="00635892" w:rsidP="003D3B6C">
      <w:pPr>
        <w:ind w:firstLine="709"/>
        <w:jc w:val="center"/>
        <w:rPr>
          <w:rFonts w:ascii="Arial Narrow" w:hAnsi="Arial Narrow"/>
          <w:lang w:val="pt-BR"/>
        </w:rPr>
      </w:pPr>
      <w:r w:rsidRPr="00CA2B1C">
        <w:rPr>
          <w:rFonts w:ascii="Arial Narrow" w:hAnsi="Arial Narrow"/>
          <w:lang w:val="pt-BR"/>
        </w:rPr>
        <w:t>Corte Suprema de Justicia</w:t>
      </w:r>
    </w:p>
    <w:p w14:paraId="60AF56D1" w14:textId="77777777" w:rsidR="00CD70A7" w:rsidRPr="000B7727" w:rsidRDefault="00CD70A7" w:rsidP="00222CDE">
      <w:pPr>
        <w:pStyle w:val="NormalWeb"/>
        <w:spacing w:before="0" w:after="0"/>
        <w:ind w:left="142" w:right="141"/>
        <w:jc w:val="both"/>
        <w:rPr>
          <w:rFonts w:ascii="Arial Narrow" w:hAnsi="Arial Narrow"/>
          <w:i/>
          <w:lang w:val="pt-BR"/>
        </w:rPr>
      </w:pPr>
    </w:p>
    <w:p w14:paraId="41A27CF2" w14:textId="5ABE8DE5" w:rsidR="00635892" w:rsidRPr="00150A1A" w:rsidRDefault="00635892" w:rsidP="00150A1A">
      <w:pPr>
        <w:rPr>
          <w:rFonts w:ascii="Arial Narrow" w:hAnsi="Arial Narrow"/>
          <w:lang w:val="pt-BR"/>
        </w:rPr>
      </w:pPr>
      <w:proofErr w:type="spellStart"/>
      <w:r w:rsidRPr="00150A1A">
        <w:rPr>
          <w:rFonts w:ascii="Arial Narrow" w:hAnsi="Arial Narrow"/>
          <w:lang w:val="pt-BR"/>
        </w:rPr>
        <w:t>Ref</w:t>
      </w:r>
      <w:proofErr w:type="spellEnd"/>
      <w:r w:rsidR="00915C4C" w:rsidRPr="00150A1A">
        <w:rPr>
          <w:rFonts w:ascii="Arial Narrow" w:hAnsi="Arial Narrow"/>
          <w:lang w:val="pt-BR"/>
        </w:rPr>
        <w:t xml:space="preserve"> </w:t>
      </w:r>
      <w:r w:rsidR="0086351B" w:rsidRPr="00150A1A">
        <w:rPr>
          <w:rFonts w:ascii="Arial Narrow" w:hAnsi="Arial Narrow"/>
          <w:lang w:val="pt-BR"/>
        </w:rPr>
        <w:t>(</w:t>
      </w:r>
      <w:r w:rsidR="00150A1A" w:rsidRPr="00150A1A">
        <w:rPr>
          <w:rFonts w:ascii="Arial Narrow" w:hAnsi="Arial Narrow"/>
          <w:lang w:val="pt-BR"/>
        </w:rPr>
        <w:t>14550-2024</w:t>
      </w:r>
      <w:r w:rsidR="00EA0D85" w:rsidRPr="00150A1A">
        <w:rPr>
          <w:rFonts w:ascii="Arial Narrow" w:hAnsi="Arial Narrow"/>
          <w:lang w:val="pt-BR"/>
        </w:rPr>
        <w:t>)</w:t>
      </w:r>
    </w:p>
    <w:p w14:paraId="11A034C5" w14:textId="3F132418" w:rsidR="009C29C0" w:rsidRPr="000B7727" w:rsidRDefault="000948C1" w:rsidP="000948C1">
      <w:pPr>
        <w:widowControl/>
        <w:jc w:val="both"/>
        <w:rPr>
          <w:rFonts w:ascii="Arial Narrow" w:eastAsia="Times New Roman" w:hAnsi="Arial Narrow"/>
          <w:kern w:val="0"/>
          <w:lang w:val="es-ES" w:eastAsia="zh-CN"/>
        </w:rPr>
      </w:pPr>
      <w:r>
        <w:rPr>
          <w:rFonts w:ascii="Arial Narrow" w:eastAsia="Times New Roman" w:hAnsi="Arial Narrow"/>
          <w:kern w:val="0"/>
          <w:lang w:val="es-ES" w:eastAsia="zh-CN"/>
        </w:rPr>
        <w:t>ediazo</w:t>
      </w:r>
    </w:p>
    <w:sectPr w:rsidR="009C29C0" w:rsidRPr="000B7727" w:rsidSect="00222CDE">
      <w:footnotePr>
        <w:pos w:val="beneathText"/>
      </w:footnotePr>
      <w:pgSz w:w="12240" w:h="15840"/>
      <w:pgMar w:top="1417" w:right="1701" w:bottom="1417"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32BD" w14:textId="77777777" w:rsidR="00403EA8" w:rsidRDefault="00403EA8">
      <w:r>
        <w:separator/>
      </w:r>
    </w:p>
  </w:endnote>
  <w:endnote w:type="continuationSeparator" w:id="0">
    <w:p w14:paraId="1DAD53D9" w14:textId="77777777" w:rsidR="00403EA8" w:rsidRDefault="0040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5270" w14:textId="77777777" w:rsidR="00403EA8" w:rsidRDefault="00403EA8">
      <w:r>
        <w:separator/>
      </w:r>
    </w:p>
  </w:footnote>
  <w:footnote w:type="continuationSeparator" w:id="0">
    <w:p w14:paraId="1B077560" w14:textId="77777777" w:rsidR="00403EA8" w:rsidRDefault="0040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0"/>
        </w:tabs>
        <w:ind w:left="107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24CF496D"/>
    <w:multiLevelType w:val="hybridMultilevel"/>
    <w:tmpl w:val="2B6E81D4"/>
    <w:lvl w:ilvl="0" w:tplc="8D86B690">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4E1709D6"/>
    <w:multiLevelType w:val="hybridMultilevel"/>
    <w:tmpl w:val="18303970"/>
    <w:lvl w:ilvl="0" w:tplc="C5FCEAA0">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C0336A1"/>
    <w:multiLevelType w:val="hybridMultilevel"/>
    <w:tmpl w:val="0ED0C89A"/>
    <w:lvl w:ilvl="0" w:tplc="31D2D47A">
      <w:start w:val="1"/>
      <w:numFmt w:val="bullet"/>
      <w:lvlText w:val="*"/>
      <w:lvlJc w:val="left"/>
      <w:pPr>
        <w:ind w:left="720" w:hanging="360"/>
      </w:pPr>
      <w:rPr>
        <w:rFonts w:ascii="Liberation Serif" w:eastAsia="SimSun" w:hAnsi="Liberation Serif" w:cs="Liberation Serif"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6F0E36F4"/>
    <w:multiLevelType w:val="hybridMultilevel"/>
    <w:tmpl w:val="D52A66A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113285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6363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91543">
    <w:abstractNumId w:val="0"/>
  </w:num>
  <w:num w:numId="4" w16cid:durableId="1182934829">
    <w:abstractNumId w:val="6"/>
  </w:num>
  <w:num w:numId="5" w16cid:durableId="1724213907">
    <w:abstractNumId w:val="5"/>
  </w:num>
  <w:num w:numId="6" w16cid:durableId="1427573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9589279">
    <w:abstractNumId w:val="7"/>
  </w:num>
  <w:num w:numId="8" w16cid:durableId="940796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13815"/>
    <w:rsid w:val="000138BF"/>
    <w:rsid w:val="000246AB"/>
    <w:rsid w:val="000405C8"/>
    <w:rsid w:val="00045081"/>
    <w:rsid w:val="00047F88"/>
    <w:rsid w:val="00064E7C"/>
    <w:rsid w:val="000702C6"/>
    <w:rsid w:val="0007249A"/>
    <w:rsid w:val="000913E8"/>
    <w:rsid w:val="000948C1"/>
    <w:rsid w:val="0009588A"/>
    <w:rsid w:val="000A240D"/>
    <w:rsid w:val="000B174C"/>
    <w:rsid w:val="000B628E"/>
    <w:rsid w:val="000B727A"/>
    <w:rsid w:val="000B7727"/>
    <w:rsid w:val="000C1E97"/>
    <w:rsid w:val="000C4BB9"/>
    <w:rsid w:val="000C7EEA"/>
    <w:rsid w:val="000E11E3"/>
    <w:rsid w:val="000E70A7"/>
    <w:rsid w:val="000E785A"/>
    <w:rsid w:val="000E7920"/>
    <w:rsid w:val="000F1BD9"/>
    <w:rsid w:val="000F55FD"/>
    <w:rsid w:val="00105962"/>
    <w:rsid w:val="00124330"/>
    <w:rsid w:val="0013147D"/>
    <w:rsid w:val="00131FB7"/>
    <w:rsid w:val="00136BD6"/>
    <w:rsid w:val="00144013"/>
    <w:rsid w:val="00144540"/>
    <w:rsid w:val="00146DF3"/>
    <w:rsid w:val="001479B9"/>
    <w:rsid w:val="00150A1A"/>
    <w:rsid w:val="00153018"/>
    <w:rsid w:val="00157B3C"/>
    <w:rsid w:val="00162DE0"/>
    <w:rsid w:val="0016722E"/>
    <w:rsid w:val="00167459"/>
    <w:rsid w:val="00167DC6"/>
    <w:rsid w:val="00174654"/>
    <w:rsid w:val="0018089D"/>
    <w:rsid w:val="001839FC"/>
    <w:rsid w:val="001861E2"/>
    <w:rsid w:val="0018797B"/>
    <w:rsid w:val="00190C63"/>
    <w:rsid w:val="001A52C9"/>
    <w:rsid w:val="001A6ADC"/>
    <w:rsid w:val="001B1476"/>
    <w:rsid w:val="001B77CE"/>
    <w:rsid w:val="001C044B"/>
    <w:rsid w:val="001D1844"/>
    <w:rsid w:val="001D2DC4"/>
    <w:rsid w:val="001D7814"/>
    <w:rsid w:val="001E26DA"/>
    <w:rsid w:val="001E4215"/>
    <w:rsid w:val="001E5EE8"/>
    <w:rsid w:val="001E657B"/>
    <w:rsid w:val="001F1B22"/>
    <w:rsid w:val="00202785"/>
    <w:rsid w:val="00204183"/>
    <w:rsid w:val="00204912"/>
    <w:rsid w:val="002131FA"/>
    <w:rsid w:val="00214880"/>
    <w:rsid w:val="00215957"/>
    <w:rsid w:val="00222CDE"/>
    <w:rsid w:val="00224481"/>
    <w:rsid w:val="002264C4"/>
    <w:rsid w:val="002359A4"/>
    <w:rsid w:val="00236D0A"/>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1A66"/>
    <w:rsid w:val="0029304A"/>
    <w:rsid w:val="002930C2"/>
    <w:rsid w:val="002A3B0D"/>
    <w:rsid w:val="002A5B52"/>
    <w:rsid w:val="002A7061"/>
    <w:rsid w:val="002B0955"/>
    <w:rsid w:val="002B2838"/>
    <w:rsid w:val="002B4CE4"/>
    <w:rsid w:val="002C23C5"/>
    <w:rsid w:val="002C291D"/>
    <w:rsid w:val="002C4203"/>
    <w:rsid w:val="002C5094"/>
    <w:rsid w:val="002C7C70"/>
    <w:rsid w:val="002D2A97"/>
    <w:rsid w:val="002E2530"/>
    <w:rsid w:val="002F288C"/>
    <w:rsid w:val="002F63B8"/>
    <w:rsid w:val="002F7A6A"/>
    <w:rsid w:val="00301ADF"/>
    <w:rsid w:val="00302877"/>
    <w:rsid w:val="00307884"/>
    <w:rsid w:val="003079AF"/>
    <w:rsid w:val="00311386"/>
    <w:rsid w:val="00312572"/>
    <w:rsid w:val="00315EC7"/>
    <w:rsid w:val="0032088B"/>
    <w:rsid w:val="00322B4B"/>
    <w:rsid w:val="00334B72"/>
    <w:rsid w:val="00341C02"/>
    <w:rsid w:val="0034244E"/>
    <w:rsid w:val="0034333A"/>
    <w:rsid w:val="00343803"/>
    <w:rsid w:val="0034790C"/>
    <w:rsid w:val="003559C4"/>
    <w:rsid w:val="003644B6"/>
    <w:rsid w:val="003678B3"/>
    <w:rsid w:val="00372F0E"/>
    <w:rsid w:val="0037610C"/>
    <w:rsid w:val="003769AA"/>
    <w:rsid w:val="003817E2"/>
    <w:rsid w:val="00392B19"/>
    <w:rsid w:val="00395AE5"/>
    <w:rsid w:val="003964FD"/>
    <w:rsid w:val="003A1DC8"/>
    <w:rsid w:val="003A4EA7"/>
    <w:rsid w:val="003B2D98"/>
    <w:rsid w:val="003B60FC"/>
    <w:rsid w:val="003C0AEA"/>
    <w:rsid w:val="003C11EF"/>
    <w:rsid w:val="003C6AC0"/>
    <w:rsid w:val="003C7AD1"/>
    <w:rsid w:val="003D17B8"/>
    <w:rsid w:val="003D1FC1"/>
    <w:rsid w:val="003D3B6C"/>
    <w:rsid w:val="003E1117"/>
    <w:rsid w:val="003E2C2A"/>
    <w:rsid w:val="003E7067"/>
    <w:rsid w:val="003F24BA"/>
    <w:rsid w:val="003F2CC6"/>
    <w:rsid w:val="003F725D"/>
    <w:rsid w:val="004000A6"/>
    <w:rsid w:val="00403EA8"/>
    <w:rsid w:val="00406BD2"/>
    <w:rsid w:val="00410E73"/>
    <w:rsid w:val="00410EFC"/>
    <w:rsid w:val="00411622"/>
    <w:rsid w:val="004157BB"/>
    <w:rsid w:val="0041588F"/>
    <w:rsid w:val="00416D48"/>
    <w:rsid w:val="004221A3"/>
    <w:rsid w:val="00422531"/>
    <w:rsid w:val="00427CBC"/>
    <w:rsid w:val="004354E5"/>
    <w:rsid w:val="00440FC5"/>
    <w:rsid w:val="00446CE8"/>
    <w:rsid w:val="00454E25"/>
    <w:rsid w:val="004605BC"/>
    <w:rsid w:val="0046689F"/>
    <w:rsid w:val="00470169"/>
    <w:rsid w:val="00475AD4"/>
    <w:rsid w:val="004808D5"/>
    <w:rsid w:val="00484772"/>
    <w:rsid w:val="00487330"/>
    <w:rsid w:val="00490AAE"/>
    <w:rsid w:val="00493DA0"/>
    <w:rsid w:val="00497DB8"/>
    <w:rsid w:val="004A512C"/>
    <w:rsid w:val="004B2A9B"/>
    <w:rsid w:val="004B5997"/>
    <w:rsid w:val="004B6DC3"/>
    <w:rsid w:val="004B703E"/>
    <w:rsid w:val="004B7612"/>
    <w:rsid w:val="004C0F6D"/>
    <w:rsid w:val="004C3481"/>
    <w:rsid w:val="004C416D"/>
    <w:rsid w:val="004D2E3D"/>
    <w:rsid w:val="004D41FE"/>
    <w:rsid w:val="004E73A7"/>
    <w:rsid w:val="004F00CB"/>
    <w:rsid w:val="004F0AB2"/>
    <w:rsid w:val="004F3186"/>
    <w:rsid w:val="004F31AA"/>
    <w:rsid w:val="00500CE7"/>
    <w:rsid w:val="005034C4"/>
    <w:rsid w:val="0051662F"/>
    <w:rsid w:val="00517047"/>
    <w:rsid w:val="00523C17"/>
    <w:rsid w:val="0052701A"/>
    <w:rsid w:val="00535279"/>
    <w:rsid w:val="00537936"/>
    <w:rsid w:val="00543B67"/>
    <w:rsid w:val="005478CD"/>
    <w:rsid w:val="00566F6F"/>
    <w:rsid w:val="00567B77"/>
    <w:rsid w:val="005703F6"/>
    <w:rsid w:val="00575E27"/>
    <w:rsid w:val="00577ED0"/>
    <w:rsid w:val="0058373E"/>
    <w:rsid w:val="005978F9"/>
    <w:rsid w:val="005C1252"/>
    <w:rsid w:val="005C21C7"/>
    <w:rsid w:val="005C48B3"/>
    <w:rsid w:val="005D18BA"/>
    <w:rsid w:val="005E4728"/>
    <w:rsid w:val="005E5A86"/>
    <w:rsid w:val="005F1F07"/>
    <w:rsid w:val="006029C0"/>
    <w:rsid w:val="00606B75"/>
    <w:rsid w:val="00614FCD"/>
    <w:rsid w:val="00615084"/>
    <w:rsid w:val="006256B2"/>
    <w:rsid w:val="00626FD4"/>
    <w:rsid w:val="00630712"/>
    <w:rsid w:val="00635892"/>
    <w:rsid w:val="00635A1D"/>
    <w:rsid w:val="006411F3"/>
    <w:rsid w:val="006424E9"/>
    <w:rsid w:val="0064477F"/>
    <w:rsid w:val="00645BBE"/>
    <w:rsid w:val="00645FF4"/>
    <w:rsid w:val="0065178F"/>
    <w:rsid w:val="00654AAF"/>
    <w:rsid w:val="006576FF"/>
    <w:rsid w:val="00657CBC"/>
    <w:rsid w:val="00661104"/>
    <w:rsid w:val="0066360A"/>
    <w:rsid w:val="00664025"/>
    <w:rsid w:val="006716E5"/>
    <w:rsid w:val="0067296A"/>
    <w:rsid w:val="00672C36"/>
    <w:rsid w:val="006750EE"/>
    <w:rsid w:val="00683846"/>
    <w:rsid w:val="00686172"/>
    <w:rsid w:val="006870DD"/>
    <w:rsid w:val="0069455D"/>
    <w:rsid w:val="00695EA1"/>
    <w:rsid w:val="00696028"/>
    <w:rsid w:val="00697398"/>
    <w:rsid w:val="006A1B90"/>
    <w:rsid w:val="006A36AE"/>
    <w:rsid w:val="006A6CE9"/>
    <w:rsid w:val="006B01ED"/>
    <w:rsid w:val="006B7178"/>
    <w:rsid w:val="006C641F"/>
    <w:rsid w:val="006D0A32"/>
    <w:rsid w:val="006D1356"/>
    <w:rsid w:val="006D6575"/>
    <w:rsid w:val="006E2656"/>
    <w:rsid w:val="006E4124"/>
    <w:rsid w:val="006E643E"/>
    <w:rsid w:val="006F0D7A"/>
    <w:rsid w:val="006F5497"/>
    <w:rsid w:val="00707F47"/>
    <w:rsid w:val="00713E76"/>
    <w:rsid w:val="00716D32"/>
    <w:rsid w:val="00720988"/>
    <w:rsid w:val="0072449B"/>
    <w:rsid w:val="00737B25"/>
    <w:rsid w:val="007410CF"/>
    <w:rsid w:val="0075239B"/>
    <w:rsid w:val="00755E40"/>
    <w:rsid w:val="00763DE6"/>
    <w:rsid w:val="00770362"/>
    <w:rsid w:val="00770F38"/>
    <w:rsid w:val="00781F01"/>
    <w:rsid w:val="0079188F"/>
    <w:rsid w:val="007926AA"/>
    <w:rsid w:val="00794E81"/>
    <w:rsid w:val="00795536"/>
    <w:rsid w:val="00796182"/>
    <w:rsid w:val="00796D94"/>
    <w:rsid w:val="007A32F0"/>
    <w:rsid w:val="007A5005"/>
    <w:rsid w:val="007A6EC1"/>
    <w:rsid w:val="007B0465"/>
    <w:rsid w:val="007B7308"/>
    <w:rsid w:val="007C0446"/>
    <w:rsid w:val="007C0A70"/>
    <w:rsid w:val="007C13A5"/>
    <w:rsid w:val="007C170A"/>
    <w:rsid w:val="007C7402"/>
    <w:rsid w:val="007E7A1B"/>
    <w:rsid w:val="007F1B42"/>
    <w:rsid w:val="007F3661"/>
    <w:rsid w:val="007F3A1D"/>
    <w:rsid w:val="007F3FC6"/>
    <w:rsid w:val="007F79C4"/>
    <w:rsid w:val="00800C0A"/>
    <w:rsid w:val="00801122"/>
    <w:rsid w:val="008043AE"/>
    <w:rsid w:val="008055DA"/>
    <w:rsid w:val="008112CA"/>
    <w:rsid w:val="0081246F"/>
    <w:rsid w:val="00814A18"/>
    <w:rsid w:val="00817BB3"/>
    <w:rsid w:val="00822F53"/>
    <w:rsid w:val="008252C1"/>
    <w:rsid w:val="00830831"/>
    <w:rsid w:val="0083109E"/>
    <w:rsid w:val="008314B3"/>
    <w:rsid w:val="00831EF9"/>
    <w:rsid w:val="008328D2"/>
    <w:rsid w:val="00833EA6"/>
    <w:rsid w:val="00850BDA"/>
    <w:rsid w:val="0085577A"/>
    <w:rsid w:val="008606F3"/>
    <w:rsid w:val="008622D2"/>
    <w:rsid w:val="0086331C"/>
    <w:rsid w:val="0086351B"/>
    <w:rsid w:val="008641DA"/>
    <w:rsid w:val="0086607B"/>
    <w:rsid w:val="008709BC"/>
    <w:rsid w:val="00876032"/>
    <w:rsid w:val="0087675D"/>
    <w:rsid w:val="00881E6E"/>
    <w:rsid w:val="00884220"/>
    <w:rsid w:val="008932BA"/>
    <w:rsid w:val="00895FE6"/>
    <w:rsid w:val="008A040C"/>
    <w:rsid w:val="008A15C9"/>
    <w:rsid w:val="008A5E64"/>
    <w:rsid w:val="008A7FD2"/>
    <w:rsid w:val="008B114C"/>
    <w:rsid w:val="008B4517"/>
    <w:rsid w:val="008C0A78"/>
    <w:rsid w:val="008C0CBA"/>
    <w:rsid w:val="008C18FE"/>
    <w:rsid w:val="008C1985"/>
    <w:rsid w:val="008C3B5A"/>
    <w:rsid w:val="008C7D91"/>
    <w:rsid w:val="008D19EA"/>
    <w:rsid w:val="008D3421"/>
    <w:rsid w:val="008D545A"/>
    <w:rsid w:val="008D71C8"/>
    <w:rsid w:val="008D7456"/>
    <w:rsid w:val="008E26BC"/>
    <w:rsid w:val="008E6220"/>
    <w:rsid w:val="009009F1"/>
    <w:rsid w:val="00902078"/>
    <w:rsid w:val="009023B3"/>
    <w:rsid w:val="00903D06"/>
    <w:rsid w:val="00904701"/>
    <w:rsid w:val="00906619"/>
    <w:rsid w:val="00915C4C"/>
    <w:rsid w:val="0091607B"/>
    <w:rsid w:val="00923683"/>
    <w:rsid w:val="009366A3"/>
    <w:rsid w:val="0094130E"/>
    <w:rsid w:val="0094541C"/>
    <w:rsid w:val="00945F8B"/>
    <w:rsid w:val="009473F8"/>
    <w:rsid w:val="00950A29"/>
    <w:rsid w:val="00951B80"/>
    <w:rsid w:val="00954017"/>
    <w:rsid w:val="00954DD5"/>
    <w:rsid w:val="0095524D"/>
    <w:rsid w:val="00956815"/>
    <w:rsid w:val="00971DA1"/>
    <w:rsid w:val="00973CD9"/>
    <w:rsid w:val="00975686"/>
    <w:rsid w:val="00981200"/>
    <w:rsid w:val="009831EE"/>
    <w:rsid w:val="00984F78"/>
    <w:rsid w:val="00986931"/>
    <w:rsid w:val="0099305D"/>
    <w:rsid w:val="00996707"/>
    <w:rsid w:val="009A2732"/>
    <w:rsid w:val="009A7D03"/>
    <w:rsid w:val="009B062A"/>
    <w:rsid w:val="009B16C1"/>
    <w:rsid w:val="009B2055"/>
    <w:rsid w:val="009B341D"/>
    <w:rsid w:val="009C29C0"/>
    <w:rsid w:val="009C2A42"/>
    <w:rsid w:val="009C6D64"/>
    <w:rsid w:val="009D7D76"/>
    <w:rsid w:val="009E017C"/>
    <w:rsid w:val="009E413D"/>
    <w:rsid w:val="009E436E"/>
    <w:rsid w:val="009E437B"/>
    <w:rsid w:val="009F1689"/>
    <w:rsid w:val="009F1A66"/>
    <w:rsid w:val="00A0685D"/>
    <w:rsid w:val="00A13436"/>
    <w:rsid w:val="00A22DAD"/>
    <w:rsid w:val="00A25900"/>
    <w:rsid w:val="00A2675A"/>
    <w:rsid w:val="00A31149"/>
    <w:rsid w:val="00A36F22"/>
    <w:rsid w:val="00A37989"/>
    <w:rsid w:val="00A37C7E"/>
    <w:rsid w:val="00A37CA8"/>
    <w:rsid w:val="00A41CDD"/>
    <w:rsid w:val="00A42198"/>
    <w:rsid w:val="00A46C1A"/>
    <w:rsid w:val="00A5270C"/>
    <w:rsid w:val="00A63C5D"/>
    <w:rsid w:val="00A662E0"/>
    <w:rsid w:val="00A718C3"/>
    <w:rsid w:val="00A74E71"/>
    <w:rsid w:val="00A80DEB"/>
    <w:rsid w:val="00A82DB4"/>
    <w:rsid w:val="00A82F3A"/>
    <w:rsid w:val="00A92502"/>
    <w:rsid w:val="00A92BAD"/>
    <w:rsid w:val="00A92F26"/>
    <w:rsid w:val="00A9321A"/>
    <w:rsid w:val="00A963C3"/>
    <w:rsid w:val="00AA2F43"/>
    <w:rsid w:val="00AA3C6B"/>
    <w:rsid w:val="00AA42E2"/>
    <w:rsid w:val="00AA63E2"/>
    <w:rsid w:val="00AA6E6D"/>
    <w:rsid w:val="00AB0593"/>
    <w:rsid w:val="00AB66FF"/>
    <w:rsid w:val="00AC1615"/>
    <w:rsid w:val="00AD1340"/>
    <w:rsid w:val="00AD17FF"/>
    <w:rsid w:val="00AD2742"/>
    <w:rsid w:val="00AD54B7"/>
    <w:rsid w:val="00AE0411"/>
    <w:rsid w:val="00AE6A38"/>
    <w:rsid w:val="00AF1148"/>
    <w:rsid w:val="00AF3C2E"/>
    <w:rsid w:val="00AF7DEE"/>
    <w:rsid w:val="00B0260F"/>
    <w:rsid w:val="00B10B49"/>
    <w:rsid w:val="00B13352"/>
    <w:rsid w:val="00B1647F"/>
    <w:rsid w:val="00B24B22"/>
    <w:rsid w:val="00B30469"/>
    <w:rsid w:val="00B323B3"/>
    <w:rsid w:val="00B33076"/>
    <w:rsid w:val="00B43D61"/>
    <w:rsid w:val="00B56713"/>
    <w:rsid w:val="00B56F9E"/>
    <w:rsid w:val="00B61A0B"/>
    <w:rsid w:val="00B670F4"/>
    <w:rsid w:val="00B711EA"/>
    <w:rsid w:val="00B760FB"/>
    <w:rsid w:val="00B77009"/>
    <w:rsid w:val="00B804DF"/>
    <w:rsid w:val="00B8167A"/>
    <w:rsid w:val="00B86100"/>
    <w:rsid w:val="00B8758E"/>
    <w:rsid w:val="00B90A0F"/>
    <w:rsid w:val="00B924F9"/>
    <w:rsid w:val="00B92DE4"/>
    <w:rsid w:val="00B96AE2"/>
    <w:rsid w:val="00BA6EF1"/>
    <w:rsid w:val="00BA7FAF"/>
    <w:rsid w:val="00BB045C"/>
    <w:rsid w:val="00BB6EEA"/>
    <w:rsid w:val="00BC10FB"/>
    <w:rsid w:val="00BC1D92"/>
    <w:rsid w:val="00BC2CE7"/>
    <w:rsid w:val="00BD04A4"/>
    <w:rsid w:val="00BD0CCD"/>
    <w:rsid w:val="00BD0DB2"/>
    <w:rsid w:val="00BD603F"/>
    <w:rsid w:val="00BD6172"/>
    <w:rsid w:val="00BD6846"/>
    <w:rsid w:val="00BE4438"/>
    <w:rsid w:val="00BE4F86"/>
    <w:rsid w:val="00BE6241"/>
    <w:rsid w:val="00BE718A"/>
    <w:rsid w:val="00BE72C7"/>
    <w:rsid w:val="00BF1B43"/>
    <w:rsid w:val="00BF37D6"/>
    <w:rsid w:val="00BF4713"/>
    <w:rsid w:val="00BF4A12"/>
    <w:rsid w:val="00C01842"/>
    <w:rsid w:val="00C072BF"/>
    <w:rsid w:val="00C10890"/>
    <w:rsid w:val="00C10914"/>
    <w:rsid w:val="00C11CF4"/>
    <w:rsid w:val="00C16AD6"/>
    <w:rsid w:val="00C30FCB"/>
    <w:rsid w:val="00C33748"/>
    <w:rsid w:val="00C34914"/>
    <w:rsid w:val="00C43097"/>
    <w:rsid w:val="00C4674C"/>
    <w:rsid w:val="00C51A93"/>
    <w:rsid w:val="00C53585"/>
    <w:rsid w:val="00C61A77"/>
    <w:rsid w:val="00C61DD9"/>
    <w:rsid w:val="00C62509"/>
    <w:rsid w:val="00C6690D"/>
    <w:rsid w:val="00C66C8B"/>
    <w:rsid w:val="00C706F4"/>
    <w:rsid w:val="00C72375"/>
    <w:rsid w:val="00C76314"/>
    <w:rsid w:val="00C76769"/>
    <w:rsid w:val="00C80E09"/>
    <w:rsid w:val="00C82F5E"/>
    <w:rsid w:val="00C87428"/>
    <w:rsid w:val="00C95ED3"/>
    <w:rsid w:val="00CA2B1C"/>
    <w:rsid w:val="00CA303C"/>
    <w:rsid w:val="00CA5FA3"/>
    <w:rsid w:val="00CA6548"/>
    <w:rsid w:val="00CB0724"/>
    <w:rsid w:val="00CB2E85"/>
    <w:rsid w:val="00CC069C"/>
    <w:rsid w:val="00CC421E"/>
    <w:rsid w:val="00CD70A7"/>
    <w:rsid w:val="00CE0EC2"/>
    <w:rsid w:val="00CE2A8A"/>
    <w:rsid w:val="00CE2E60"/>
    <w:rsid w:val="00CE564D"/>
    <w:rsid w:val="00CE7CB9"/>
    <w:rsid w:val="00CF31B3"/>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1C75"/>
    <w:rsid w:val="00D43B03"/>
    <w:rsid w:val="00D44CFE"/>
    <w:rsid w:val="00D54B78"/>
    <w:rsid w:val="00D55542"/>
    <w:rsid w:val="00D57316"/>
    <w:rsid w:val="00D6066D"/>
    <w:rsid w:val="00D62D5E"/>
    <w:rsid w:val="00D63D2B"/>
    <w:rsid w:val="00D659E4"/>
    <w:rsid w:val="00D76CBB"/>
    <w:rsid w:val="00D802F6"/>
    <w:rsid w:val="00D80966"/>
    <w:rsid w:val="00D82870"/>
    <w:rsid w:val="00D82BD1"/>
    <w:rsid w:val="00D87B00"/>
    <w:rsid w:val="00D94569"/>
    <w:rsid w:val="00D94599"/>
    <w:rsid w:val="00D947FA"/>
    <w:rsid w:val="00D94E2D"/>
    <w:rsid w:val="00DA0E39"/>
    <w:rsid w:val="00DA1418"/>
    <w:rsid w:val="00DA4AF7"/>
    <w:rsid w:val="00DA5344"/>
    <w:rsid w:val="00DC4328"/>
    <w:rsid w:val="00DC5AF6"/>
    <w:rsid w:val="00DD2501"/>
    <w:rsid w:val="00DD5EC6"/>
    <w:rsid w:val="00DE20C0"/>
    <w:rsid w:val="00DE73D7"/>
    <w:rsid w:val="00DF2C8F"/>
    <w:rsid w:val="00E0020F"/>
    <w:rsid w:val="00E05E44"/>
    <w:rsid w:val="00E06B79"/>
    <w:rsid w:val="00E17BED"/>
    <w:rsid w:val="00E208F9"/>
    <w:rsid w:val="00E26C37"/>
    <w:rsid w:val="00E344A3"/>
    <w:rsid w:val="00E405F2"/>
    <w:rsid w:val="00E51021"/>
    <w:rsid w:val="00E57928"/>
    <w:rsid w:val="00E60982"/>
    <w:rsid w:val="00E638DA"/>
    <w:rsid w:val="00E649CD"/>
    <w:rsid w:val="00E76B03"/>
    <w:rsid w:val="00E86963"/>
    <w:rsid w:val="00E90BC5"/>
    <w:rsid w:val="00E9462E"/>
    <w:rsid w:val="00EA0D85"/>
    <w:rsid w:val="00EA383F"/>
    <w:rsid w:val="00EA48CB"/>
    <w:rsid w:val="00EA5E4A"/>
    <w:rsid w:val="00EC2982"/>
    <w:rsid w:val="00EC3F8E"/>
    <w:rsid w:val="00ED0630"/>
    <w:rsid w:val="00ED0EB6"/>
    <w:rsid w:val="00ED7692"/>
    <w:rsid w:val="00ED7A7D"/>
    <w:rsid w:val="00EE1747"/>
    <w:rsid w:val="00EE4937"/>
    <w:rsid w:val="00EF129F"/>
    <w:rsid w:val="00EF189E"/>
    <w:rsid w:val="00EF6272"/>
    <w:rsid w:val="00F01A7E"/>
    <w:rsid w:val="00F04EB6"/>
    <w:rsid w:val="00F05A62"/>
    <w:rsid w:val="00F12CA0"/>
    <w:rsid w:val="00F136A6"/>
    <w:rsid w:val="00F1380F"/>
    <w:rsid w:val="00F16A70"/>
    <w:rsid w:val="00F17128"/>
    <w:rsid w:val="00F24300"/>
    <w:rsid w:val="00F250C3"/>
    <w:rsid w:val="00F25932"/>
    <w:rsid w:val="00F370C6"/>
    <w:rsid w:val="00F41EBF"/>
    <w:rsid w:val="00F42F63"/>
    <w:rsid w:val="00F46E7C"/>
    <w:rsid w:val="00F50E7D"/>
    <w:rsid w:val="00F52C4A"/>
    <w:rsid w:val="00F60D84"/>
    <w:rsid w:val="00F67287"/>
    <w:rsid w:val="00F679AA"/>
    <w:rsid w:val="00F72B61"/>
    <w:rsid w:val="00F7626C"/>
    <w:rsid w:val="00F769CA"/>
    <w:rsid w:val="00F83E99"/>
    <w:rsid w:val="00F84EB4"/>
    <w:rsid w:val="00F915D9"/>
    <w:rsid w:val="00F95382"/>
    <w:rsid w:val="00FA2A17"/>
    <w:rsid w:val="00FA2E40"/>
    <w:rsid w:val="00FA7DB9"/>
    <w:rsid w:val="00FB0B26"/>
    <w:rsid w:val="00FC1143"/>
    <w:rsid w:val="00FD573C"/>
    <w:rsid w:val="00FD6425"/>
    <w:rsid w:val="00FF239E"/>
    <w:rsid w:val="00FF49DF"/>
    <w:rsid w:val="00FF6244"/>
    <w:rsid w:val="00FF6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639B"/>
  <w15:chartTrackingRefBased/>
  <w15:docId w15:val="{AE322098-AF1F-4C2F-8512-8186C418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xmsonormal">
    <w:name w:val="x_msonormal"/>
    <w:basedOn w:val="Normal"/>
    <w:rsid w:val="00ED7A7D"/>
    <w:pPr>
      <w:widowControl/>
      <w:suppressAutoHyphens w:val="0"/>
    </w:pPr>
    <w:rPr>
      <w:rFonts w:ascii="Calibri" w:eastAsia="Calibri" w:hAnsi="Calibri" w:cs="Calibri"/>
      <w:kern w:val="0"/>
      <w:sz w:val="22"/>
      <w:szCs w:val="22"/>
      <w:lang w:val="es-CR"/>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
    <w:basedOn w:val="Normal"/>
    <w:uiPriority w:val="34"/>
    <w:qFormat/>
    <w:rsid w:val="00ED7A7D"/>
    <w:pPr>
      <w:ind w:left="720"/>
      <w:contextualSpacing/>
    </w:pPr>
  </w:style>
  <w:style w:type="character" w:styleId="Hipervnculovisitado">
    <w:name w:val="FollowedHyperlink"/>
    <w:basedOn w:val="Fuentedeprrafopredeter"/>
    <w:rsid w:val="00FA2A17"/>
    <w:rPr>
      <w:color w:val="954F72" w:themeColor="followedHyperlink"/>
      <w:u w:val="single"/>
    </w:rPr>
  </w:style>
  <w:style w:type="character" w:customStyle="1" w:styleId="Mencinsinresolver1">
    <w:name w:val="Mención sin resolver1"/>
    <w:basedOn w:val="Fuentedeprrafopredeter"/>
    <w:uiPriority w:val="99"/>
    <w:semiHidden/>
    <w:unhideWhenUsed/>
    <w:rsid w:val="00ED0630"/>
    <w:rPr>
      <w:color w:val="605E5C"/>
      <w:shd w:val="clear" w:color="auto" w:fill="E1DFDD"/>
    </w:rPr>
  </w:style>
  <w:style w:type="character" w:styleId="Mencinsinresolver">
    <w:name w:val="Unresolved Mention"/>
    <w:basedOn w:val="Fuentedeprrafopredeter"/>
    <w:uiPriority w:val="99"/>
    <w:semiHidden/>
    <w:unhideWhenUsed/>
    <w:rsid w:val="005E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8350">
      <w:bodyDiv w:val="1"/>
      <w:marLeft w:val="0"/>
      <w:marRight w:val="0"/>
      <w:marTop w:val="0"/>
      <w:marBottom w:val="0"/>
      <w:divBdr>
        <w:top w:val="none" w:sz="0" w:space="0" w:color="auto"/>
        <w:left w:val="none" w:sz="0" w:space="0" w:color="auto"/>
        <w:bottom w:val="none" w:sz="0" w:space="0" w:color="auto"/>
        <w:right w:val="none" w:sz="0" w:space="0" w:color="auto"/>
      </w:divBdr>
    </w:div>
    <w:div w:id="86193617">
      <w:bodyDiv w:val="1"/>
      <w:marLeft w:val="0"/>
      <w:marRight w:val="0"/>
      <w:marTop w:val="0"/>
      <w:marBottom w:val="0"/>
      <w:divBdr>
        <w:top w:val="none" w:sz="0" w:space="0" w:color="auto"/>
        <w:left w:val="none" w:sz="0" w:space="0" w:color="auto"/>
        <w:bottom w:val="none" w:sz="0" w:space="0" w:color="auto"/>
        <w:right w:val="none" w:sz="0" w:space="0" w:color="auto"/>
      </w:divBdr>
    </w:div>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27285385">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689767469">
      <w:bodyDiv w:val="1"/>
      <w:marLeft w:val="0"/>
      <w:marRight w:val="0"/>
      <w:marTop w:val="0"/>
      <w:marBottom w:val="0"/>
      <w:divBdr>
        <w:top w:val="none" w:sz="0" w:space="0" w:color="auto"/>
        <w:left w:val="none" w:sz="0" w:space="0" w:color="auto"/>
        <w:bottom w:val="none" w:sz="0" w:space="0" w:color="auto"/>
        <w:right w:val="none" w:sz="0" w:space="0" w:color="auto"/>
      </w:divBdr>
    </w:div>
    <w:div w:id="731730157">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876429669">
      <w:bodyDiv w:val="1"/>
      <w:marLeft w:val="0"/>
      <w:marRight w:val="0"/>
      <w:marTop w:val="0"/>
      <w:marBottom w:val="0"/>
      <w:divBdr>
        <w:top w:val="none" w:sz="0" w:space="0" w:color="auto"/>
        <w:left w:val="none" w:sz="0" w:space="0" w:color="auto"/>
        <w:bottom w:val="none" w:sz="0" w:space="0" w:color="auto"/>
        <w:right w:val="none" w:sz="0" w:space="0" w:color="auto"/>
      </w:divBdr>
    </w:div>
    <w:div w:id="1001815392">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389652149">
      <w:bodyDiv w:val="1"/>
      <w:marLeft w:val="0"/>
      <w:marRight w:val="0"/>
      <w:marTop w:val="0"/>
      <w:marBottom w:val="0"/>
      <w:divBdr>
        <w:top w:val="none" w:sz="0" w:space="0" w:color="auto"/>
        <w:left w:val="none" w:sz="0" w:space="0" w:color="auto"/>
        <w:bottom w:val="none" w:sz="0" w:space="0" w:color="auto"/>
        <w:right w:val="none" w:sz="0" w:space="0" w:color="auto"/>
      </w:divBdr>
    </w:div>
    <w:div w:id="1405640530">
      <w:bodyDiv w:val="1"/>
      <w:marLeft w:val="0"/>
      <w:marRight w:val="0"/>
      <w:marTop w:val="0"/>
      <w:marBottom w:val="0"/>
      <w:divBdr>
        <w:top w:val="none" w:sz="0" w:space="0" w:color="auto"/>
        <w:left w:val="none" w:sz="0" w:space="0" w:color="auto"/>
        <w:bottom w:val="none" w:sz="0" w:space="0" w:color="auto"/>
        <w:right w:val="none" w:sz="0" w:space="0" w:color="auto"/>
      </w:divBdr>
    </w:div>
    <w:div w:id="1430664538">
      <w:bodyDiv w:val="1"/>
      <w:marLeft w:val="0"/>
      <w:marRight w:val="0"/>
      <w:marTop w:val="0"/>
      <w:marBottom w:val="0"/>
      <w:divBdr>
        <w:top w:val="none" w:sz="0" w:space="0" w:color="auto"/>
        <w:left w:val="none" w:sz="0" w:space="0" w:color="auto"/>
        <w:bottom w:val="none" w:sz="0" w:space="0" w:color="auto"/>
        <w:right w:val="none" w:sz="0" w:space="0" w:color="auto"/>
      </w:divBdr>
    </w:div>
    <w:div w:id="1440877586">
      <w:bodyDiv w:val="1"/>
      <w:marLeft w:val="0"/>
      <w:marRight w:val="0"/>
      <w:marTop w:val="0"/>
      <w:marBottom w:val="0"/>
      <w:divBdr>
        <w:top w:val="none" w:sz="0" w:space="0" w:color="auto"/>
        <w:left w:val="none" w:sz="0" w:space="0" w:color="auto"/>
        <w:bottom w:val="none" w:sz="0" w:space="0" w:color="auto"/>
        <w:right w:val="none" w:sz="0" w:space="0" w:color="auto"/>
      </w:divBdr>
    </w:div>
    <w:div w:id="1500535389">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550678923">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649434388">
      <w:bodyDiv w:val="1"/>
      <w:marLeft w:val="0"/>
      <w:marRight w:val="0"/>
      <w:marTop w:val="0"/>
      <w:marBottom w:val="0"/>
      <w:divBdr>
        <w:top w:val="none" w:sz="0" w:space="0" w:color="auto"/>
        <w:left w:val="none" w:sz="0" w:space="0" w:color="auto"/>
        <w:bottom w:val="none" w:sz="0" w:space="0" w:color="auto"/>
        <w:right w:val="none" w:sz="0" w:space="0" w:color="auto"/>
      </w:divBdr>
    </w:div>
    <w:div w:id="1655256855">
      <w:bodyDiv w:val="1"/>
      <w:marLeft w:val="0"/>
      <w:marRight w:val="0"/>
      <w:marTop w:val="0"/>
      <w:marBottom w:val="0"/>
      <w:divBdr>
        <w:top w:val="none" w:sz="0" w:space="0" w:color="auto"/>
        <w:left w:val="none" w:sz="0" w:space="0" w:color="auto"/>
        <w:bottom w:val="none" w:sz="0" w:space="0" w:color="auto"/>
        <w:right w:val="none" w:sz="0" w:space="0" w:color="auto"/>
      </w:divBdr>
    </w:div>
    <w:div w:id="1727291967">
      <w:bodyDiv w:val="1"/>
      <w:marLeft w:val="0"/>
      <w:marRight w:val="0"/>
      <w:marTop w:val="0"/>
      <w:marBottom w:val="0"/>
      <w:divBdr>
        <w:top w:val="none" w:sz="0" w:space="0" w:color="auto"/>
        <w:left w:val="none" w:sz="0" w:space="0" w:color="auto"/>
        <w:bottom w:val="none" w:sz="0" w:space="0" w:color="auto"/>
        <w:right w:val="none" w:sz="0" w:space="0" w:color="auto"/>
      </w:divBdr>
    </w:div>
    <w:div w:id="1736389250">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54247380">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retariacorte.poder-judicial.go.cr/index.php/informacion-general/documentos-interes?download=53602:salario-base-sobre-el-cual-se-definen-las-penas-a-aplicar-por-la-comision-de-diversas-figuras-delictivas-contenidas-en-el-codigo-penal-y-demas-normativa-durante-e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Comunicaciones - Katherine Morales Ramírez</cp:lastModifiedBy>
  <cp:revision>2</cp:revision>
  <cp:lastPrinted>2024-12-18T19:18:00Z</cp:lastPrinted>
  <dcterms:created xsi:type="dcterms:W3CDTF">2024-12-18T20:52:00Z</dcterms:created>
  <dcterms:modified xsi:type="dcterms:W3CDTF">2024-12-18T20:52:00Z</dcterms:modified>
</cp:coreProperties>
</file>